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EB9CF" w14:textId="77777777" w:rsidR="007E0D17" w:rsidRPr="0039720D" w:rsidRDefault="0043257A" w:rsidP="00841A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bookmarkStart w:id="0" w:name="_GoBack"/>
      <w:bookmarkEnd w:id="0"/>
      <w:r w:rsidRPr="0039720D">
        <w:rPr>
          <w:rFonts w:ascii="Times New Roman" w:hAnsi="Times New Roman" w:cs="Times New Roman"/>
          <w:b/>
          <w:bCs/>
          <w:color w:val="000000"/>
        </w:rPr>
        <w:t>How do I evaluate the assertion that the child objects to return</w:t>
      </w:r>
      <w:r w:rsidR="007E0D17" w:rsidRPr="0039720D">
        <w:rPr>
          <w:rFonts w:ascii="Times New Roman" w:hAnsi="Times New Roman" w:cs="Times New Roman"/>
          <w:b/>
          <w:bCs/>
          <w:color w:val="000000"/>
        </w:rPr>
        <w:t>?</w:t>
      </w:r>
    </w:p>
    <w:p w14:paraId="498AF2D8" w14:textId="4478DACA" w:rsidR="00DA1183" w:rsidRPr="0039720D" w:rsidRDefault="007E0D17"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imes New Roman" w:hAnsi="Times New Roman" w:cs="Times New Roman"/>
          <w:color w:val="000000"/>
        </w:rPr>
      </w:pPr>
      <w:r w:rsidRPr="0039720D">
        <w:rPr>
          <w:rFonts w:ascii="Times New Roman" w:hAnsi="Times New Roman" w:cs="Times New Roman"/>
          <w:color w:val="000000"/>
        </w:rPr>
        <w:t>Article 13 of the Convention states that a court “may refuse to order the return of the child if it finds that the child objects to being returned and has attained an age and degree of maturity at which it is appropriate to take account of its views.”</w:t>
      </w:r>
      <w:r w:rsidR="00841ADC" w:rsidRPr="0039720D">
        <w:rPr>
          <w:rFonts w:ascii="Times New Roman" w:hAnsi="Times New Roman" w:cs="Times New Roman"/>
          <w:color w:val="000000"/>
        </w:rPr>
        <w:t xml:space="preserve"> </w:t>
      </w:r>
      <w:r w:rsidR="002F1EA3" w:rsidRPr="0039720D">
        <w:rPr>
          <w:rFonts w:ascii="Times New Roman" w:hAnsi="Times New Roman" w:cs="Times New Roman"/>
          <w:color w:val="000000"/>
        </w:rPr>
        <w:t>The party resisting return must prove this defense by a preponderance of the evidence.</w:t>
      </w:r>
      <w:r w:rsidR="002F1EA3" w:rsidRPr="0039720D">
        <w:rPr>
          <w:rStyle w:val="FootnoteReference"/>
          <w:rFonts w:ascii="Times New Roman" w:hAnsi="Times New Roman"/>
          <w:color w:val="000000"/>
          <w:sz w:val="24"/>
        </w:rPr>
        <w:footnoteReference w:id="1"/>
      </w:r>
    </w:p>
    <w:p w14:paraId="136F6D2A" w14:textId="6ED7A029" w:rsidR="00DA1183" w:rsidRPr="0039720D" w:rsidRDefault="00AD06ED"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rPr>
      </w:pPr>
      <w:r w:rsidRPr="0039720D">
        <w:rPr>
          <w:rFonts w:ascii="Times New Roman" w:hAnsi="Times New Roman" w:cs="Times New Roman"/>
          <w:b/>
          <w:color w:val="000000"/>
        </w:rPr>
        <w:t xml:space="preserve">Proper Characterization of the </w:t>
      </w:r>
      <w:r w:rsidR="00F04364" w:rsidRPr="0039720D">
        <w:rPr>
          <w:rFonts w:ascii="Times New Roman" w:hAnsi="Times New Roman" w:cs="Times New Roman"/>
          <w:b/>
          <w:color w:val="000000"/>
        </w:rPr>
        <w:t>D</w:t>
      </w:r>
      <w:r w:rsidRPr="0039720D">
        <w:rPr>
          <w:rFonts w:ascii="Times New Roman" w:hAnsi="Times New Roman" w:cs="Times New Roman"/>
          <w:b/>
          <w:color w:val="000000"/>
        </w:rPr>
        <w:t>efense.</w:t>
      </w:r>
      <w:r w:rsidR="00841ADC" w:rsidRPr="0039720D">
        <w:rPr>
          <w:rFonts w:ascii="Times New Roman" w:hAnsi="Times New Roman" w:cs="Times New Roman"/>
          <w:b/>
          <w:color w:val="000000"/>
        </w:rPr>
        <w:t xml:space="preserve"> </w:t>
      </w:r>
      <w:r w:rsidR="0046011A" w:rsidRPr="0039720D">
        <w:rPr>
          <w:rFonts w:ascii="Times New Roman" w:hAnsi="Times New Roman" w:cs="Times New Roman"/>
          <w:color w:val="000000"/>
        </w:rPr>
        <w:t>Some cases refer to this as the “age and maturity defense</w:t>
      </w:r>
      <w:r w:rsidR="00DD529F" w:rsidRPr="0039720D">
        <w:rPr>
          <w:rFonts w:ascii="Times New Roman" w:hAnsi="Times New Roman" w:cs="Times New Roman"/>
          <w:color w:val="000000"/>
        </w:rPr>
        <w:t>.</w:t>
      </w:r>
      <w:r w:rsidR="0046011A" w:rsidRPr="0039720D">
        <w:rPr>
          <w:rFonts w:ascii="Times New Roman" w:hAnsi="Times New Roman" w:cs="Times New Roman"/>
          <w:color w:val="000000"/>
        </w:rPr>
        <w:t>”</w:t>
      </w:r>
      <w:r w:rsidR="00841ADC" w:rsidRPr="0039720D">
        <w:rPr>
          <w:rFonts w:ascii="Times New Roman" w:hAnsi="Times New Roman" w:cs="Times New Roman"/>
          <w:color w:val="000000"/>
        </w:rPr>
        <w:t xml:space="preserve"> </w:t>
      </w:r>
      <w:r w:rsidR="008B3DDE" w:rsidRPr="0039720D">
        <w:rPr>
          <w:rFonts w:ascii="Times New Roman" w:hAnsi="Times New Roman" w:cs="Times New Roman"/>
          <w:color w:val="000000"/>
        </w:rPr>
        <w:t>Other</w:t>
      </w:r>
      <w:r w:rsidR="0043257A" w:rsidRPr="0039720D">
        <w:rPr>
          <w:rFonts w:ascii="Times New Roman" w:hAnsi="Times New Roman" w:cs="Times New Roman"/>
          <w:color w:val="000000"/>
        </w:rPr>
        <w:t xml:space="preserve"> decisions</w:t>
      </w:r>
      <w:r w:rsidR="0046011A" w:rsidRPr="0039720D">
        <w:rPr>
          <w:rFonts w:ascii="Times New Roman" w:hAnsi="Times New Roman" w:cs="Times New Roman"/>
          <w:color w:val="000000"/>
        </w:rPr>
        <w:t xml:space="preserve"> refer to this defense as “the wishes of the child”</w:t>
      </w:r>
      <w:r w:rsidR="00DD529F" w:rsidRPr="0039720D">
        <w:rPr>
          <w:rFonts w:ascii="Times New Roman" w:hAnsi="Times New Roman" w:cs="Times New Roman"/>
          <w:color w:val="000000"/>
        </w:rPr>
        <w:t>—</w:t>
      </w:r>
      <w:r w:rsidR="0043257A" w:rsidRPr="0039720D">
        <w:rPr>
          <w:rFonts w:ascii="Times New Roman" w:hAnsi="Times New Roman" w:cs="Times New Roman"/>
          <w:color w:val="000000"/>
        </w:rPr>
        <w:t>a</w:t>
      </w:r>
      <w:r w:rsidR="00DD529F" w:rsidRPr="0039720D">
        <w:rPr>
          <w:rFonts w:ascii="Times New Roman" w:hAnsi="Times New Roman" w:cs="Times New Roman"/>
          <w:color w:val="000000"/>
        </w:rPr>
        <w:t xml:space="preserve"> </w:t>
      </w:r>
      <w:r w:rsidR="0043257A" w:rsidRPr="0039720D">
        <w:rPr>
          <w:rFonts w:ascii="Times New Roman" w:hAnsi="Times New Roman" w:cs="Times New Roman"/>
          <w:color w:val="000000"/>
        </w:rPr>
        <w:t>mischaracterization of the defense that could lead to results that are not contemplated by the treaty.</w:t>
      </w:r>
      <w:r w:rsidR="00841ADC" w:rsidRPr="0039720D">
        <w:rPr>
          <w:rFonts w:ascii="Times New Roman" w:hAnsi="Times New Roman" w:cs="Times New Roman"/>
          <w:color w:val="000000"/>
        </w:rPr>
        <w:t xml:space="preserve"> </w:t>
      </w:r>
      <w:r w:rsidR="0043257A" w:rsidRPr="0039720D">
        <w:rPr>
          <w:rFonts w:ascii="Times New Roman" w:hAnsi="Times New Roman" w:cs="Times New Roman"/>
          <w:color w:val="000000"/>
        </w:rPr>
        <w:t>Hague cases are not custody cases.</w:t>
      </w:r>
      <w:r w:rsidR="00841ADC" w:rsidRPr="0039720D">
        <w:rPr>
          <w:rFonts w:ascii="Times New Roman" w:hAnsi="Times New Roman" w:cs="Times New Roman"/>
          <w:color w:val="000000"/>
        </w:rPr>
        <w:t xml:space="preserve"> </w:t>
      </w:r>
      <w:r w:rsidR="0043257A" w:rsidRPr="0039720D">
        <w:rPr>
          <w:rFonts w:ascii="Times New Roman" w:hAnsi="Times New Roman" w:cs="Times New Roman"/>
          <w:color w:val="000000"/>
        </w:rPr>
        <w:t>A child</w:t>
      </w:r>
      <w:r w:rsidR="00DD529F" w:rsidRPr="0039720D">
        <w:rPr>
          <w:rFonts w:ascii="Times New Roman" w:hAnsi="Times New Roman" w:cs="Times New Roman"/>
          <w:color w:val="000000"/>
        </w:rPr>
        <w:t>’</w:t>
      </w:r>
      <w:r w:rsidR="0043257A" w:rsidRPr="0039720D">
        <w:rPr>
          <w:rFonts w:ascii="Times New Roman" w:hAnsi="Times New Roman" w:cs="Times New Roman"/>
          <w:color w:val="000000"/>
        </w:rPr>
        <w:t xml:space="preserve">s wishes, expressed in the </w:t>
      </w:r>
      <w:r w:rsidR="00D30288" w:rsidRPr="0039720D">
        <w:rPr>
          <w:rFonts w:ascii="Times New Roman" w:hAnsi="Times New Roman" w:cs="Times New Roman"/>
          <w:color w:val="000000"/>
        </w:rPr>
        <w:t>context of a state custody proceeding</w:t>
      </w:r>
      <w:r w:rsidR="00DD529F" w:rsidRPr="0039720D">
        <w:rPr>
          <w:rFonts w:ascii="Times New Roman" w:hAnsi="Times New Roman" w:cs="Times New Roman"/>
          <w:color w:val="000000"/>
        </w:rPr>
        <w:t>,</w:t>
      </w:r>
      <w:r w:rsidR="0043257A" w:rsidRPr="0039720D">
        <w:rPr>
          <w:rFonts w:ascii="Times New Roman" w:hAnsi="Times New Roman" w:cs="Times New Roman"/>
          <w:color w:val="000000"/>
        </w:rPr>
        <w:t xml:space="preserve"> may be properly considered in determining a custody award.</w:t>
      </w:r>
      <w:r w:rsidR="00841ADC" w:rsidRPr="0039720D">
        <w:rPr>
          <w:rFonts w:ascii="Times New Roman" w:hAnsi="Times New Roman" w:cs="Times New Roman"/>
          <w:color w:val="000000"/>
        </w:rPr>
        <w:t xml:space="preserve"> </w:t>
      </w:r>
      <w:r w:rsidR="0043257A" w:rsidRPr="0039720D">
        <w:rPr>
          <w:rFonts w:ascii="Times New Roman" w:hAnsi="Times New Roman" w:cs="Times New Roman"/>
          <w:color w:val="000000"/>
        </w:rPr>
        <w:t>But the 1</w:t>
      </w:r>
      <w:r w:rsidR="00D30288" w:rsidRPr="0039720D">
        <w:rPr>
          <w:rFonts w:ascii="Times New Roman" w:hAnsi="Times New Roman" w:cs="Times New Roman"/>
          <w:color w:val="000000"/>
        </w:rPr>
        <w:t>980 Hague Convention refers to the</w:t>
      </w:r>
      <w:r w:rsidR="0043257A" w:rsidRPr="0039720D">
        <w:rPr>
          <w:rFonts w:ascii="Times New Roman" w:hAnsi="Times New Roman" w:cs="Times New Roman"/>
          <w:color w:val="000000"/>
        </w:rPr>
        <w:t xml:space="preserve"> child</w:t>
      </w:r>
      <w:r w:rsidR="00DD529F" w:rsidRPr="0039720D">
        <w:rPr>
          <w:rFonts w:ascii="Times New Roman" w:hAnsi="Times New Roman" w:cs="Times New Roman"/>
          <w:color w:val="000000"/>
        </w:rPr>
        <w:t>’</w:t>
      </w:r>
      <w:r w:rsidR="0043257A" w:rsidRPr="0039720D">
        <w:rPr>
          <w:rFonts w:ascii="Times New Roman" w:hAnsi="Times New Roman" w:cs="Times New Roman"/>
          <w:color w:val="000000"/>
        </w:rPr>
        <w:t xml:space="preserve">s objection, not </w:t>
      </w:r>
      <w:r w:rsidR="00D30288" w:rsidRPr="0039720D">
        <w:rPr>
          <w:rFonts w:ascii="Times New Roman" w:hAnsi="Times New Roman" w:cs="Times New Roman"/>
          <w:color w:val="000000"/>
        </w:rPr>
        <w:t>the</w:t>
      </w:r>
      <w:r w:rsidR="0043257A" w:rsidRPr="0039720D">
        <w:rPr>
          <w:rFonts w:ascii="Times New Roman" w:hAnsi="Times New Roman" w:cs="Times New Roman"/>
          <w:color w:val="000000"/>
        </w:rPr>
        <w:t xml:space="preserve"> child</w:t>
      </w:r>
      <w:r w:rsidR="00DD529F" w:rsidRPr="0039720D">
        <w:rPr>
          <w:rFonts w:ascii="Times New Roman" w:hAnsi="Times New Roman" w:cs="Times New Roman"/>
          <w:color w:val="000000"/>
        </w:rPr>
        <w:t>’</w:t>
      </w:r>
      <w:r w:rsidR="0043257A" w:rsidRPr="0039720D">
        <w:rPr>
          <w:rFonts w:ascii="Times New Roman" w:hAnsi="Times New Roman" w:cs="Times New Roman"/>
          <w:color w:val="000000"/>
        </w:rPr>
        <w:t>s wishes.</w:t>
      </w:r>
      <w:r w:rsidR="00841ADC" w:rsidRPr="0039720D">
        <w:rPr>
          <w:rFonts w:ascii="Times New Roman" w:hAnsi="Times New Roman" w:cs="Times New Roman"/>
          <w:color w:val="000000"/>
        </w:rPr>
        <w:t xml:space="preserve"> </w:t>
      </w:r>
      <w:r w:rsidR="0043257A" w:rsidRPr="0039720D">
        <w:rPr>
          <w:rFonts w:ascii="Times New Roman" w:hAnsi="Times New Roman" w:cs="Times New Roman"/>
          <w:color w:val="000000"/>
        </w:rPr>
        <w:t xml:space="preserve">Illustrating this point, the court in </w:t>
      </w:r>
      <w:proofErr w:type="spellStart"/>
      <w:r w:rsidR="0043257A" w:rsidRPr="0039720D">
        <w:rPr>
          <w:rFonts w:ascii="Times New Roman" w:hAnsi="Times New Roman" w:cs="Times New Roman"/>
          <w:i/>
        </w:rPr>
        <w:t>Hirst</w:t>
      </w:r>
      <w:proofErr w:type="spellEnd"/>
      <w:r w:rsidR="0043257A" w:rsidRPr="0039720D">
        <w:rPr>
          <w:rFonts w:ascii="Times New Roman" w:hAnsi="Times New Roman" w:cs="Times New Roman"/>
          <w:i/>
        </w:rPr>
        <w:t xml:space="preserve"> v. </w:t>
      </w:r>
      <w:proofErr w:type="spellStart"/>
      <w:r w:rsidR="0043257A" w:rsidRPr="0039720D">
        <w:rPr>
          <w:rFonts w:ascii="Times New Roman" w:hAnsi="Times New Roman" w:cs="Times New Roman"/>
          <w:i/>
        </w:rPr>
        <w:t>Tiberghien</w:t>
      </w:r>
      <w:proofErr w:type="spellEnd"/>
      <w:r w:rsidR="0043257A" w:rsidRPr="0039720D">
        <w:rPr>
          <w:rStyle w:val="FootnoteReference"/>
          <w:rFonts w:ascii="Times New Roman" w:hAnsi="Times New Roman"/>
          <w:sz w:val="24"/>
        </w:rPr>
        <w:footnoteReference w:id="2"/>
      </w:r>
      <w:r w:rsidR="0043257A" w:rsidRPr="0039720D">
        <w:rPr>
          <w:rFonts w:ascii="Times New Roman" w:hAnsi="Times New Roman" w:cs="Times New Roman"/>
        </w:rPr>
        <w:t xml:space="preserve"> </w:t>
      </w:r>
      <w:r w:rsidR="00D30288" w:rsidRPr="0039720D">
        <w:rPr>
          <w:rFonts w:ascii="Times New Roman" w:hAnsi="Times New Roman" w:cs="Times New Roman"/>
        </w:rPr>
        <w:t>cautioned</w:t>
      </w:r>
      <w:r w:rsidR="0043257A" w:rsidRPr="0039720D">
        <w:rPr>
          <w:rFonts w:ascii="Times New Roman" w:hAnsi="Times New Roman" w:cs="Times New Roman"/>
        </w:rPr>
        <w:t xml:space="preserve"> that</w:t>
      </w:r>
    </w:p>
    <w:p w14:paraId="1DE0C024" w14:textId="7162C49B" w:rsidR="0043257A" w:rsidRPr="0039720D" w:rsidRDefault="0043257A" w:rsidP="00166874">
      <w:pPr>
        <w:pStyle w:val="text"/>
        <w:spacing w:before="120"/>
        <w:ind w:left="360" w:right="720"/>
        <w:rPr>
          <w:rFonts w:ascii="Times New Roman" w:hAnsi="Times New Roman" w:cs="Times New Roman"/>
          <w:szCs w:val="22"/>
        </w:rPr>
      </w:pPr>
      <w:r w:rsidRPr="0039720D">
        <w:rPr>
          <w:rFonts w:ascii="Times New Roman" w:hAnsi="Times New Roman" w:cs="Times New Roman"/>
          <w:szCs w:val="22"/>
        </w:rPr>
        <w:t>[T]he court must distinguish between a child</w:t>
      </w:r>
      <w:r w:rsidR="00DD529F" w:rsidRPr="0039720D">
        <w:rPr>
          <w:rFonts w:ascii="Times New Roman" w:hAnsi="Times New Roman" w:cs="Times New Roman"/>
          <w:szCs w:val="22"/>
        </w:rPr>
        <w:t>’</w:t>
      </w:r>
      <w:r w:rsidRPr="0039720D">
        <w:rPr>
          <w:rFonts w:ascii="Times New Roman" w:hAnsi="Times New Roman" w:cs="Times New Roman"/>
          <w:szCs w:val="22"/>
        </w:rPr>
        <w:t>s objections as defined by the</w:t>
      </w:r>
      <w:r w:rsidR="00140BA6" w:rsidRPr="0039720D">
        <w:rPr>
          <w:rFonts w:ascii="Times New Roman" w:hAnsi="Times New Roman" w:cs="Times New Roman"/>
          <w:szCs w:val="22"/>
        </w:rPr>
        <w:t xml:space="preserve"> [sic]</w:t>
      </w:r>
      <w:r w:rsidRPr="0039720D">
        <w:rPr>
          <w:rFonts w:ascii="Times New Roman" w:hAnsi="Times New Roman" w:cs="Times New Roman"/>
          <w:szCs w:val="22"/>
        </w:rPr>
        <w:t xml:space="preserve"> Hague Convention and the child</w:t>
      </w:r>
      <w:r w:rsidR="00DD529F" w:rsidRPr="0039720D">
        <w:rPr>
          <w:rFonts w:ascii="Times New Roman" w:hAnsi="Times New Roman" w:cs="Times New Roman"/>
          <w:szCs w:val="22"/>
        </w:rPr>
        <w:t>’</w:t>
      </w:r>
      <w:r w:rsidRPr="0039720D">
        <w:rPr>
          <w:rFonts w:ascii="Times New Roman" w:hAnsi="Times New Roman" w:cs="Times New Roman"/>
          <w:szCs w:val="22"/>
        </w:rPr>
        <w:t xml:space="preserve">s wishes as in a typical child custody case, the former being a “stronger and more restrictive” standard than the latter. </w:t>
      </w:r>
      <w:r w:rsidR="00DD529F" w:rsidRPr="0039720D">
        <w:rPr>
          <w:rFonts w:ascii="Times New Roman" w:hAnsi="Times New Roman" w:cs="Times New Roman"/>
          <w:szCs w:val="22"/>
        </w:rPr>
        <w:t>[c</w:t>
      </w:r>
      <w:r w:rsidR="00140BA6" w:rsidRPr="0039720D">
        <w:rPr>
          <w:rFonts w:ascii="Times New Roman" w:hAnsi="Times New Roman" w:cs="Times New Roman"/>
          <w:szCs w:val="22"/>
        </w:rPr>
        <w:t>itation</w:t>
      </w:r>
      <w:r w:rsidR="00DD529F" w:rsidRPr="0039720D">
        <w:rPr>
          <w:rFonts w:ascii="Times New Roman" w:hAnsi="Times New Roman" w:cs="Times New Roman"/>
          <w:szCs w:val="22"/>
        </w:rPr>
        <w:t xml:space="preserve"> omitted]</w:t>
      </w:r>
      <w:r w:rsidRPr="0039720D">
        <w:rPr>
          <w:rFonts w:ascii="Times New Roman" w:hAnsi="Times New Roman" w:cs="Times New Roman"/>
          <w:szCs w:val="22"/>
        </w:rPr>
        <w:t xml:space="preserve"> Where the particularized objection is “born of rational comparison” between a child</w:t>
      </w:r>
      <w:r w:rsidR="00DD529F" w:rsidRPr="0039720D">
        <w:rPr>
          <w:rFonts w:ascii="Times New Roman" w:hAnsi="Times New Roman" w:cs="Times New Roman"/>
          <w:szCs w:val="22"/>
        </w:rPr>
        <w:t>’</w:t>
      </w:r>
      <w:r w:rsidRPr="0039720D">
        <w:rPr>
          <w:rFonts w:ascii="Times New Roman" w:hAnsi="Times New Roman" w:cs="Times New Roman"/>
          <w:szCs w:val="22"/>
        </w:rPr>
        <w:t>s life in the country of wrongful retention and the country of habitual residence, the court may consider the child</w:t>
      </w:r>
      <w:r w:rsidR="00DD529F" w:rsidRPr="0039720D">
        <w:rPr>
          <w:rFonts w:ascii="Times New Roman" w:hAnsi="Times New Roman" w:cs="Times New Roman"/>
          <w:szCs w:val="22"/>
        </w:rPr>
        <w:t>’</w:t>
      </w:r>
      <w:r w:rsidRPr="0039720D">
        <w:rPr>
          <w:rFonts w:ascii="Times New Roman" w:hAnsi="Times New Roman" w:cs="Times New Roman"/>
          <w:szCs w:val="22"/>
        </w:rPr>
        <w:t>s objections to be a mature objection worthy of consideration. See Castillo v. Castillo, 597 F.</w:t>
      </w:r>
      <w:r w:rsidR="00140BA6" w:rsidRPr="0039720D">
        <w:rPr>
          <w:rFonts w:ascii="Times New Roman" w:hAnsi="Times New Roman" w:cs="Times New Roman"/>
          <w:szCs w:val="22"/>
        </w:rPr>
        <w:t xml:space="preserve"> </w:t>
      </w:r>
      <w:r w:rsidRPr="0039720D">
        <w:rPr>
          <w:rFonts w:ascii="Times New Roman" w:hAnsi="Times New Roman" w:cs="Times New Roman"/>
          <w:szCs w:val="22"/>
        </w:rPr>
        <w:t>Supp.</w:t>
      </w:r>
      <w:r w:rsidR="00140BA6" w:rsidRPr="0039720D">
        <w:rPr>
          <w:rFonts w:ascii="Times New Roman" w:hAnsi="Times New Roman" w:cs="Times New Roman"/>
          <w:szCs w:val="22"/>
        </w:rPr>
        <w:t xml:space="preserve"> </w:t>
      </w:r>
      <w:r w:rsidRPr="0039720D">
        <w:rPr>
          <w:rFonts w:ascii="Times New Roman" w:hAnsi="Times New Roman" w:cs="Times New Roman"/>
          <w:szCs w:val="22"/>
        </w:rPr>
        <w:t>2d 432, 441 (D.</w:t>
      </w:r>
      <w:r w:rsidR="00140BA6" w:rsidRPr="0039720D">
        <w:rPr>
          <w:rFonts w:ascii="Times New Roman" w:hAnsi="Times New Roman" w:cs="Times New Roman"/>
          <w:szCs w:val="22"/>
        </w:rPr>
        <w:t xml:space="preserve"> </w:t>
      </w:r>
      <w:r w:rsidRPr="0039720D">
        <w:rPr>
          <w:rFonts w:ascii="Times New Roman" w:hAnsi="Times New Roman" w:cs="Times New Roman"/>
          <w:szCs w:val="22"/>
        </w:rPr>
        <w:t>Del.</w:t>
      </w:r>
      <w:r w:rsidR="00140BA6" w:rsidRPr="0039720D">
        <w:rPr>
          <w:rFonts w:ascii="Times New Roman" w:hAnsi="Times New Roman" w:cs="Times New Roman"/>
          <w:szCs w:val="22"/>
        </w:rPr>
        <w:t xml:space="preserve"> </w:t>
      </w:r>
      <w:r w:rsidRPr="0039720D">
        <w:rPr>
          <w:rFonts w:ascii="Times New Roman" w:hAnsi="Times New Roman" w:cs="Times New Roman"/>
          <w:szCs w:val="22"/>
        </w:rPr>
        <w:t xml:space="preserve">2009). The defense does not apply if the “objection is simply that the child wishes to remain with the abductor.” Application of </w:t>
      </w:r>
      <w:r w:rsidRPr="0039720D">
        <w:rPr>
          <w:rFonts w:ascii="Times New Roman" w:hAnsi="Times New Roman" w:cs="Times New Roman"/>
          <w:i/>
          <w:szCs w:val="22"/>
        </w:rPr>
        <w:t>Nicholson v. Nicholson</w:t>
      </w:r>
      <w:r w:rsidRPr="0039720D">
        <w:rPr>
          <w:rFonts w:ascii="Times New Roman" w:hAnsi="Times New Roman" w:cs="Times New Roman"/>
          <w:szCs w:val="22"/>
        </w:rPr>
        <w:t>, 97–1273–JTM, 1997 WL 446432 (D.</w:t>
      </w:r>
      <w:r w:rsidR="00140BA6" w:rsidRPr="0039720D">
        <w:rPr>
          <w:rFonts w:ascii="Times New Roman" w:hAnsi="Times New Roman" w:cs="Times New Roman"/>
          <w:szCs w:val="22"/>
        </w:rPr>
        <w:t xml:space="preserve"> </w:t>
      </w:r>
      <w:r w:rsidRPr="0039720D">
        <w:rPr>
          <w:rFonts w:ascii="Times New Roman" w:hAnsi="Times New Roman" w:cs="Times New Roman"/>
          <w:szCs w:val="22"/>
        </w:rPr>
        <w:t>Kan. July 7, 1997);</w:t>
      </w:r>
      <w:r w:rsidR="00841ADC" w:rsidRPr="0039720D">
        <w:rPr>
          <w:rFonts w:ascii="Times New Roman" w:hAnsi="Times New Roman" w:cs="Times New Roman"/>
          <w:szCs w:val="22"/>
        </w:rPr>
        <w:t xml:space="preserve"> </w:t>
      </w:r>
      <w:r w:rsidR="00DD529F" w:rsidRPr="0039720D">
        <w:rPr>
          <w:rFonts w:ascii="Times New Roman" w:hAnsi="Times New Roman" w:cs="Times New Roman"/>
          <w:szCs w:val="22"/>
        </w:rPr>
        <w:t>. .</w:t>
      </w:r>
      <w:r w:rsidRPr="0039720D">
        <w:rPr>
          <w:rFonts w:ascii="Times New Roman" w:hAnsi="Times New Roman" w:cs="Times New Roman"/>
          <w:szCs w:val="22"/>
        </w:rPr>
        <w:t xml:space="preserve"> . Giving consideration to such wishes would place the court in the position of deciding custody, which is explicitly not the mandate of a court hearing a wrongful retention case under </w:t>
      </w:r>
      <w:proofErr w:type="gramStart"/>
      <w:r w:rsidRPr="0039720D">
        <w:rPr>
          <w:rFonts w:ascii="Times New Roman" w:hAnsi="Times New Roman" w:cs="Times New Roman"/>
          <w:szCs w:val="22"/>
        </w:rPr>
        <w:t>the Hague</w:t>
      </w:r>
      <w:proofErr w:type="gramEnd"/>
      <w:r w:rsidRPr="0039720D">
        <w:rPr>
          <w:rFonts w:ascii="Times New Roman" w:hAnsi="Times New Roman" w:cs="Times New Roman"/>
          <w:szCs w:val="22"/>
        </w:rPr>
        <w:t xml:space="preserve"> Convention. </w:t>
      </w:r>
    </w:p>
    <w:p w14:paraId="31A9B743" w14:textId="179593EE" w:rsidR="007E0D17" w:rsidRPr="0039720D" w:rsidRDefault="00AD06ED"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9720D">
        <w:rPr>
          <w:rFonts w:ascii="Times New Roman" w:hAnsi="Times New Roman" w:cs="Times New Roman"/>
          <w:b/>
          <w:color w:val="000000"/>
        </w:rPr>
        <w:t>Sufficient Age and Maturity.</w:t>
      </w:r>
      <w:r w:rsidR="00841ADC" w:rsidRPr="0039720D">
        <w:rPr>
          <w:rFonts w:ascii="Times New Roman" w:hAnsi="Times New Roman" w:cs="Times New Roman"/>
          <w:b/>
          <w:color w:val="000000"/>
        </w:rPr>
        <w:t xml:space="preserve"> </w:t>
      </w:r>
      <w:r w:rsidR="00D30288" w:rsidRPr="0039720D">
        <w:rPr>
          <w:rFonts w:ascii="Times New Roman" w:hAnsi="Times New Roman" w:cs="Times New Roman"/>
          <w:color w:val="000000"/>
        </w:rPr>
        <w:t>The threshold consideration in considering a child</w:t>
      </w:r>
      <w:r w:rsidR="00DD529F" w:rsidRPr="0039720D">
        <w:rPr>
          <w:rFonts w:ascii="Times New Roman" w:hAnsi="Times New Roman" w:cs="Times New Roman"/>
          <w:color w:val="000000"/>
        </w:rPr>
        <w:t>’</w:t>
      </w:r>
      <w:r w:rsidR="00D30288" w:rsidRPr="0039720D">
        <w:rPr>
          <w:rFonts w:ascii="Times New Roman" w:hAnsi="Times New Roman" w:cs="Times New Roman"/>
          <w:color w:val="000000"/>
        </w:rPr>
        <w:t>s objection is whether the child is of sufficient age and maturity that his or her views should be considered.</w:t>
      </w:r>
      <w:r w:rsidR="00841ADC" w:rsidRPr="0039720D">
        <w:rPr>
          <w:rFonts w:ascii="Times New Roman" w:hAnsi="Times New Roman" w:cs="Times New Roman"/>
          <w:color w:val="000000"/>
        </w:rPr>
        <w:t xml:space="preserve"> </w:t>
      </w:r>
      <w:r w:rsidR="00D30288" w:rsidRPr="0039720D">
        <w:rPr>
          <w:rFonts w:ascii="Times New Roman" w:hAnsi="Times New Roman" w:cs="Times New Roman"/>
          <w:color w:val="000000"/>
        </w:rPr>
        <w:t>This finding is a purely factual matter that is entitled to deference on review.</w:t>
      </w:r>
      <w:r w:rsidR="00D30288" w:rsidRPr="0039720D">
        <w:rPr>
          <w:rStyle w:val="FootnoteReference"/>
          <w:rFonts w:ascii="Times New Roman" w:hAnsi="Times New Roman"/>
          <w:color w:val="000000"/>
          <w:sz w:val="24"/>
        </w:rPr>
        <w:footnoteReference w:id="3"/>
      </w:r>
      <w:r w:rsidR="00841ADC" w:rsidRPr="0039720D">
        <w:rPr>
          <w:rFonts w:ascii="Times New Roman" w:hAnsi="Times New Roman" w:cs="Times New Roman"/>
          <w:color w:val="000000"/>
        </w:rPr>
        <w:t xml:space="preserve"> </w:t>
      </w:r>
      <w:r w:rsidR="00D30288" w:rsidRPr="0039720D">
        <w:rPr>
          <w:rFonts w:ascii="Times New Roman" w:hAnsi="Times New Roman" w:cs="Times New Roman"/>
          <w:color w:val="000000"/>
        </w:rPr>
        <w:t>Courts have treated the objection of a child to return differently if that objection is the sole basis for refusing return, or if it is combined with other defenses that have been established.</w:t>
      </w:r>
      <w:r w:rsidR="00841ADC" w:rsidRPr="0039720D">
        <w:rPr>
          <w:rFonts w:ascii="Times New Roman" w:hAnsi="Times New Roman" w:cs="Times New Roman"/>
          <w:color w:val="000000"/>
        </w:rPr>
        <w:t xml:space="preserve"> </w:t>
      </w:r>
      <w:r w:rsidR="00D30288" w:rsidRPr="0039720D">
        <w:rPr>
          <w:rFonts w:ascii="Times New Roman" w:hAnsi="Times New Roman" w:cs="Times New Roman"/>
          <w:color w:val="000000"/>
        </w:rPr>
        <w:t>If the child</w:t>
      </w:r>
      <w:r w:rsidR="00DD529F" w:rsidRPr="0039720D">
        <w:rPr>
          <w:rFonts w:ascii="Times New Roman" w:hAnsi="Times New Roman" w:cs="Times New Roman"/>
          <w:color w:val="000000"/>
        </w:rPr>
        <w:t>’</w:t>
      </w:r>
      <w:r w:rsidR="00D30288" w:rsidRPr="0039720D">
        <w:rPr>
          <w:rFonts w:ascii="Times New Roman" w:hAnsi="Times New Roman" w:cs="Times New Roman"/>
          <w:color w:val="000000"/>
        </w:rPr>
        <w:t>s objection is the sole reason for refusing an order of return, courts apply a stricter standard.</w:t>
      </w:r>
      <w:r w:rsidR="00841ADC" w:rsidRPr="0039720D">
        <w:rPr>
          <w:rFonts w:ascii="Times New Roman" w:hAnsi="Times New Roman" w:cs="Times New Roman"/>
          <w:color w:val="000000"/>
        </w:rPr>
        <w:t xml:space="preserve"> </w:t>
      </w:r>
      <w:r w:rsidR="00D30288" w:rsidRPr="0039720D">
        <w:rPr>
          <w:rFonts w:ascii="Times New Roman" w:hAnsi="Times New Roman" w:cs="Times New Roman"/>
          <w:color w:val="000000"/>
        </w:rPr>
        <w:t xml:space="preserve">In </w:t>
      </w:r>
      <w:proofErr w:type="spellStart"/>
      <w:r w:rsidR="00D30288" w:rsidRPr="0039720D">
        <w:rPr>
          <w:rFonts w:ascii="Times New Roman" w:hAnsi="Times New Roman" w:cs="Times New Roman"/>
          <w:i/>
          <w:color w:val="000000"/>
        </w:rPr>
        <w:t>Blondin</w:t>
      </w:r>
      <w:proofErr w:type="spellEnd"/>
      <w:r w:rsidR="00D30288" w:rsidRPr="0039720D">
        <w:rPr>
          <w:rFonts w:ascii="Times New Roman" w:hAnsi="Times New Roman" w:cs="Times New Roman"/>
          <w:i/>
          <w:color w:val="000000"/>
        </w:rPr>
        <w:t xml:space="preserve"> v. Dubois</w:t>
      </w:r>
      <w:r w:rsidR="00D30288" w:rsidRPr="0039720D">
        <w:rPr>
          <w:rFonts w:ascii="Times New Roman" w:hAnsi="Times New Roman" w:cs="Times New Roman"/>
          <w:color w:val="000000"/>
        </w:rPr>
        <w:t xml:space="preserve"> (</w:t>
      </w:r>
      <w:proofErr w:type="spellStart"/>
      <w:r w:rsidR="00D30288" w:rsidRPr="0039720D">
        <w:rPr>
          <w:rFonts w:ascii="Times New Roman" w:hAnsi="Times New Roman" w:cs="Times New Roman"/>
          <w:i/>
          <w:color w:val="000000"/>
        </w:rPr>
        <w:t>Blondin</w:t>
      </w:r>
      <w:proofErr w:type="spellEnd"/>
      <w:r w:rsidR="00D30288" w:rsidRPr="0039720D">
        <w:rPr>
          <w:rFonts w:ascii="Times New Roman" w:hAnsi="Times New Roman" w:cs="Times New Roman"/>
          <w:i/>
          <w:color w:val="000000"/>
        </w:rPr>
        <w:t xml:space="preserve"> II</w:t>
      </w:r>
      <w:r w:rsidR="00D30288" w:rsidRPr="0039720D">
        <w:rPr>
          <w:rFonts w:ascii="Times New Roman" w:hAnsi="Times New Roman" w:cs="Times New Roman"/>
          <w:color w:val="000000"/>
        </w:rPr>
        <w:t>)</w:t>
      </w:r>
      <w:r w:rsidR="00DD529F" w:rsidRPr="0039720D">
        <w:rPr>
          <w:rFonts w:ascii="Times New Roman" w:hAnsi="Times New Roman" w:cs="Times New Roman"/>
          <w:color w:val="000000"/>
        </w:rPr>
        <w:t>,</w:t>
      </w:r>
      <w:r w:rsidR="00D30288" w:rsidRPr="0039720D">
        <w:rPr>
          <w:rStyle w:val="FootnoteReference"/>
          <w:rFonts w:ascii="Times New Roman" w:hAnsi="Times New Roman"/>
          <w:color w:val="000000"/>
          <w:sz w:val="24"/>
        </w:rPr>
        <w:footnoteReference w:id="4"/>
      </w:r>
      <w:r w:rsidRPr="0039720D">
        <w:rPr>
          <w:rFonts w:ascii="Times New Roman" w:hAnsi="Times New Roman" w:cs="Times New Roman"/>
          <w:color w:val="000000"/>
        </w:rPr>
        <w:t xml:space="preserve"> the court refused return of the child based upon her youth, but considered her opinion in substantiating an Article 13 “grave risk” defense.</w:t>
      </w:r>
    </w:p>
    <w:p w14:paraId="59C4E80D" w14:textId="1DFCE036" w:rsidR="00AD06ED" w:rsidRPr="0039720D" w:rsidRDefault="00841ADC" w:rsidP="0016687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9720D">
        <w:rPr>
          <w:rFonts w:ascii="Times New Roman" w:hAnsi="Times New Roman" w:cs="Times New Roman"/>
          <w:color w:val="000000"/>
        </w:rPr>
        <w:lastRenderedPageBreak/>
        <w:tab/>
      </w:r>
      <w:r w:rsidR="00AD06ED" w:rsidRPr="0039720D">
        <w:rPr>
          <w:rFonts w:ascii="Times New Roman" w:hAnsi="Times New Roman" w:cs="Times New Roman"/>
          <w:color w:val="000000"/>
        </w:rPr>
        <w:t xml:space="preserve">The question whether a child </w:t>
      </w:r>
      <w:r w:rsidR="008B3DDE" w:rsidRPr="0039720D">
        <w:rPr>
          <w:rFonts w:ascii="Times New Roman" w:hAnsi="Times New Roman" w:cs="Times New Roman"/>
          <w:color w:val="000000"/>
        </w:rPr>
        <w:t xml:space="preserve">is of </w:t>
      </w:r>
      <w:r w:rsidR="00AD06ED" w:rsidRPr="0039720D">
        <w:rPr>
          <w:rFonts w:ascii="Times New Roman" w:hAnsi="Times New Roman" w:cs="Times New Roman"/>
          <w:color w:val="000000"/>
        </w:rPr>
        <w:t xml:space="preserve">sufficient age and </w:t>
      </w:r>
      <w:r w:rsidR="008B3DDE" w:rsidRPr="0039720D">
        <w:rPr>
          <w:rFonts w:ascii="Times New Roman" w:hAnsi="Times New Roman" w:cs="Times New Roman"/>
          <w:color w:val="000000"/>
        </w:rPr>
        <w:t xml:space="preserve">exhibits </w:t>
      </w:r>
      <w:r w:rsidR="00AD06ED" w:rsidRPr="0039720D">
        <w:rPr>
          <w:rFonts w:ascii="Times New Roman" w:hAnsi="Times New Roman" w:cs="Times New Roman"/>
          <w:color w:val="000000"/>
        </w:rPr>
        <w:t>maturity for the court to consider the opinion is a question</w:t>
      </w:r>
      <w:r w:rsidR="00DD529F" w:rsidRPr="0039720D">
        <w:rPr>
          <w:rFonts w:ascii="Times New Roman" w:hAnsi="Times New Roman" w:cs="Times New Roman"/>
          <w:color w:val="000000"/>
        </w:rPr>
        <w:t xml:space="preserve"> of fact that greatly depends </w:t>
      </w:r>
      <w:r w:rsidR="00AD06ED" w:rsidRPr="0039720D">
        <w:rPr>
          <w:rFonts w:ascii="Times New Roman" w:hAnsi="Times New Roman" w:cs="Times New Roman"/>
          <w:color w:val="000000"/>
        </w:rPr>
        <w:t>on the child.</w:t>
      </w:r>
      <w:r w:rsidRPr="0039720D">
        <w:rPr>
          <w:rFonts w:ascii="Times New Roman" w:hAnsi="Times New Roman" w:cs="Times New Roman"/>
          <w:color w:val="000000"/>
        </w:rPr>
        <w:t xml:space="preserve"> </w:t>
      </w:r>
      <w:r w:rsidR="00AD06ED" w:rsidRPr="0039720D">
        <w:rPr>
          <w:rFonts w:ascii="Times New Roman" w:hAnsi="Times New Roman" w:cs="Times New Roman"/>
          <w:color w:val="000000"/>
        </w:rPr>
        <w:t>There are no bright lines in this area.</w:t>
      </w:r>
      <w:r w:rsidRPr="0039720D">
        <w:rPr>
          <w:rFonts w:ascii="Times New Roman" w:hAnsi="Times New Roman" w:cs="Times New Roman"/>
          <w:color w:val="000000"/>
        </w:rPr>
        <w:t xml:space="preserve"> </w:t>
      </w:r>
      <w:r w:rsidR="00AD06ED" w:rsidRPr="0039720D">
        <w:rPr>
          <w:rFonts w:ascii="Times New Roman" w:hAnsi="Times New Roman" w:cs="Times New Roman"/>
          <w:color w:val="000000"/>
        </w:rPr>
        <w:t xml:space="preserve">Courts have considered the opinions of </w:t>
      </w:r>
      <w:r w:rsidR="00140BA6" w:rsidRPr="0039720D">
        <w:rPr>
          <w:rFonts w:ascii="Times New Roman" w:hAnsi="Times New Roman" w:cs="Times New Roman"/>
          <w:color w:val="000000"/>
        </w:rPr>
        <w:t>eight</w:t>
      </w:r>
      <w:r w:rsidR="00AD06ED" w:rsidRPr="0039720D">
        <w:rPr>
          <w:rFonts w:ascii="Times New Roman" w:hAnsi="Times New Roman" w:cs="Times New Roman"/>
          <w:color w:val="000000"/>
        </w:rPr>
        <w:t>-year</w:t>
      </w:r>
      <w:r w:rsidR="00DD529F" w:rsidRPr="0039720D">
        <w:rPr>
          <w:rFonts w:ascii="Times New Roman" w:hAnsi="Times New Roman" w:cs="Times New Roman"/>
          <w:color w:val="000000"/>
        </w:rPr>
        <w:t>-</w:t>
      </w:r>
      <w:r w:rsidR="00AD06ED" w:rsidRPr="0039720D">
        <w:rPr>
          <w:rFonts w:ascii="Times New Roman" w:hAnsi="Times New Roman" w:cs="Times New Roman"/>
          <w:color w:val="000000"/>
        </w:rPr>
        <w:t>old children</w:t>
      </w:r>
      <w:r w:rsidR="004C0731" w:rsidRPr="0039720D">
        <w:rPr>
          <w:rStyle w:val="FootnoteReference"/>
          <w:rFonts w:ascii="Times New Roman" w:hAnsi="Times New Roman"/>
          <w:color w:val="000000"/>
          <w:sz w:val="24"/>
        </w:rPr>
        <w:footnoteReference w:id="5"/>
      </w:r>
      <w:r w:rsidR="00AD06ED" w:rsidRPr="0039720D">
        <w:rPr>
          <w:rFonts w:ascii="Times New Roman" w:hAnsi="Times New Roman" w:cs="Times New Roman"/>
          <w:color w:val="000000"/>
        </w:rPr>
        <w:t xml:space="preserve"> </w:t>
      </w:r>
      <w:r w:rsidR="004C0731" w:rsidRPr="0039720D">
        <w:rPr>
          <w:rFonts w:ascii="Times New Roman" w:hAnsi="Times New Roman" w:cs="Times New Roman"/>
          <w:color w:val="000000"/>
        </w:rPr>
        <w:t xml:space="preserve">and have rejected the opinions of </w:t>
      </w:r>
      <w:r w:rsidR="00140BA6" w:rsidRPr="0039720D">
        <w:rPr>
          <w:rFonts w:ascii="Times New Roman" w:hAnsi="Times New Roman" w:cs="Times New Roman"/>
          <w:color w:val="000000"/>
        </w:rPr>
        <w:t>fourteen</w:t>
      </w:r>
      <w:r w:rsidR="00DD529F" w:rsidRPr="0039720D">
        <w:rPr>
          <w:rFonts w:ascii="Times New Roman" w:hAnsi="Times New Roman" w:cs="Times New Roman"/>
          <w:color w:val="000000"/>
        </w:rPr>
        <w:t>-</w:t>
      </w:r>
      <w:r w:rsidR="00140BA6" w:rsidRPr="0039720D">
        <w:rPr>
          <w:rFonts w:ascii="Times New Roman" w:hAnsi="Times New Roman" w:cs="Times New Roman"/>
          <w:color w:val="000000"/>
        </w:rPr>
        <w:t xml:space="preserve"> </w:t>
      </w:r>
      <w:r w:rsidR="004C0731" w:rsidRPr="0039720D">
        <w:rPr>
          <w:rFonts w:ascii="Times New Roman" w:hAnsi="Times New Roman" w:cs="Times New Roman"/>
          <w:color w:val="000000"/>
        </w:rPr>
        <w:t xml:space="preserve">and </w:t>
      </w:r>
      <w:r w:rsidR="00140BA6" w:rsidRPr="0039720D">
        <w:rPr>
          <w:rFonts w:ascii="Times New Roman" w:hAnsi="Times New Roman" w:cs="Times New Roman"/>
          <w:color w:val="000000"/>
        </w:rPr>
        <w:t>fifteen</w:t>
      </w:r>
      <w:r w:rsidR="004C0731" w:rsidRPr="0039720D">
        <w:rPr>
          <w:rFonts w:ascii="Times New Roman" w:hAnsi="Times New Roman" w:cs="Times New Roman"/>
          <w:color w:val="000000"/>
        </w:rPr>
        <w:t>-year</w:t>
      </w:r>
      <w:r w:rsidR="00DD529F" w:rsidRPr="0039720D">
        <w:rPr>
          <w:rFonts w:ascii="Times New Roman" w:hAnsi="Times New Roman" w:cs="Times New Roman"/>
          <w:color w:val="000000"/>
        </w:rPr>
        <w:t>-</w:t>
      </w:r>
      <w:r w:rsidR="004C0731" w:rsidRPr="0039720D">
        <w:rPr>
          <w:rFonts w:ascii="Times New Roman" w:hAnsi="Times New Roman" w:cs="Times New Roman"/>
          <w:color w:val="000000"/>
        </w:rPr>
        <w:t>old children.</w:t>
      </w:r>
      <w:r w:rsidR="004C0731" w:rsidRPr="0039720D">
        <w:rPr>
          <w:rStyle w:val="FootnoteReference"/>
          <w:rFonts w:ascii="Times New Roman" w:hAnsi="Times New Roman"/>
          <w:color w:val="000000"/>
          <w:sz w:val="24"/>
        </w:rPr>
        <w:footnoteReference w:id="6"/>
      </w:r>
    </w:p>
    <w:p w14:paraId="62BC66C0" w14:textId="39AF00EE" w:rsidR="007E0D17" w:rsidRPr="0039720D" w:rsidRDefault="004C0731"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9720D">
        <w:rPr>
          <w:rFonts w:ascii="Times New Roman" w:hAnsi="Times New Roman" w:cs="Times New Roman"/>
          <w:b/>
          <w:color w:val="000000"/>
        </w:rPr>
        <w:t>Reasons for the Child</w:t>
      </w:r>
      <w:r w:rsidR="00DD529F" w:rsidRPr="0039720D">
        <w:rPr>
          <w:rFonts w:ascii="Times New Roman" w:hAnsi="Times New Roman" w:cs="Times New Roman"/>
          <w:b/>
          <w:color w:val="000000"/>
        </w:rPr>
        <w:t>’</w:t>
      </w:r>
      <w:r w:rsidRPr="0039720D">
        <w:rPr>
          <w:rFonts w:ascii="Times New Roman" w:hAnsi="Times New Roman" w:cs="Times New Roman"/>
          <w:b/>
          <w:color w:val="000000"/>
        </w:rPr>
        <w:t>s Objections.</w:t>
      </w:r>
      <w:r w:rsidR="00841ADC" w:rsidRPr="0039720D">
        <w:rPr>
          <w:rFonts w:ascii="Times New Roman" w:hAnsi="Times New Roman" w:cs="Times New Roman"/>
          <w:b/>
          <w:color w:val="000000"/>
        </w:rPr>
        <w:t xml:space="preserve"> </w:t>
      </w:r>
      <w:r w:rsidR="007E0D17" w:rsidRPr="0039720D">
        <w:rPr>
          <w:rFonts w:ascii="Times New Roman" w:hAnsi="Times New Roman" w:cs="Times New Roman"/>
          <w:color w:val="000000"/>
        </w:rPr>
        <w:t>Beyond the issue of the child</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 xml:space="preserve">s age and degree of maturity are the reasons </w:t>
      </w:r>
      <w:r w:rsidR="00DD529F" w:rsidRPr="0039720D">
        <w:rPr>
          <w:rFonts w:ascii="Times New Roman" w:hAnsi="Times New Roman" w:cs="Times New Roman"/>
          <w:color w:val="000000"/>
        </w:rPr>
        <w:t>that</w:t>
      </w:r>
      <w:r w:rsidR="007E0D17" w:rsidRPr="0039720D">
        <w:rPr>
          <w:rFonts w:ascii="Times New Roman" w:hAnsi="Times New Roman" w:cs="Times New Roman"/>
          <w:color w:val="000000"/>
        </w:rPr>
        <w:t xml:space="preserve"> the child voices for objecting to return.</w:t>
      </w:r>
      <w:r w:rsidR="00841ADC" w:rsidRPr="0039720D">
        <w:rPr>
          <w:rFonts w:ascii="Times New Roman" w:hAnsi="Times New Roman" w:cs="Times New Roman"/>
          <w:color w:val="000000"/>
        </w:rPr>
        <w:t xml:space="preserve"> </w:t>
      </w:r>
      <w:r w:rsidR="007E0D17" w:rsidRPr="0039720D">
        <w:rPr>
          <w:rFonts w:ascii="Times New Roman" w:hAnsi="Times New Roman" w:cs="Times New Roman"/>
          <w:color w:val="000000"/>
        </w:rPr>
        <w:t xml:space="preserve">Consider, for example, a </w:t>
      </w:r>
      <w:r w:rsidR="00140BA6" w:rsidRPr="0039720D">
        <w:rPr>
          <w:rFonts w:ascii="Times New Roman" w:hAnsi="Times New Roman" w:cs="Times New Roman"/>
          <w:color w:val="000000"/>
        </w:rPr>
        <w:t>seven</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year</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old child who expresses an objection to returning to the habitual residence on the basis that the parent in tha</w:t>
      </w:r>
      <w:r w:rsidR="002F1EA3" w:rsidRPr="0039720D">
        <w:rPr>
          <w:rFonts w:ascii="Times New Roman" w:hAnsi="Times New Roman" w:cs="Times New Roman"/>
          <w:color w:val="000000"/>
        </w:rPr>
        <w:t>t location has been abusive, the child has difficulty with the language in the habitual residence, and the family lives in needless squalor because the petitioning parent refuses to provide financial support</w:t>
      </w:r>
      <w:r w:rsidR="007E0D17" w:rsidRPr="0039720D">
        <w:rPr>
          <w:rFonts w:ascii="Times New Roman" w:hAnsi="Times New Roman" w:cs="Times New Roman"/>
          <w:color w:val="000000"/>
        </w:rPr>
        <w:t>.</w:t>
      </w:r>
      <w:r w:rsidR="00841ADC" w:rsidRPr="0039720D">
        <w:rPr>
          <w:rFonts w:ascii="Times New Roman" w:hAnsi="Times New Roman" w:cs="Times New Roman"/>
          <w:color w:val="000000"/>
        </w:rPr>
        <w:t xml:space="preserve"> </w:t>
      </w:r>
      <w:r w:rsidR="007E0D17" w:rsidRPr="0039720D">
        <w:rPr>
          <w:rFonts w:ascii="Times New Roman" w:hAnsi="Times New Roman" w:cs="Times New Roman"/>
          <w:color w:val="000000"/>
        </w:rPr>
        <w:t xml:space="preserve">On the other hand, consider the statements of a </w:t>
      </w:r>
      <w:r w:rsidR="00140BA6" w:rsidRPr="0039720D">
        <w:rPr>
          <w:rFonts w:ascii="Times New Roman" w:hAnsi="Times New Roman" w:cs="Times New Roman"/>
          <w:color w:val="000000"/>
        </w:rPr>
        <w:t>thirteen</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year</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old child who objects to return because a parent promised him an iPhone</w:t>
      </w:r>
      <w:r w:rsidR="002F1EA3" w:rsidRPr="0039720D">
        <w:rPr>
          <w:rFonts w:ascii="Times New Roman" w:hAnsi="Times New Roman" w:cs="Times New Roman"/>
          <w:color w:val="000000"/>
        </w:rPr>
        <w:t>,</w:t>
      </w:r>
      <w:r w:rsidR="007E0D17" w:rsidRPr="0039720D">
        <w:rPr>
          <w:rFonts w:ascii="Times New Roman" w:hAnsi="Times New Roman" w:cs="Times New Roman"/>
          <w:color w:val="000000"/>
        </w:rPr>
        <w:t xml:space="preserve"> the child</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s friends are “cooler” tha</w:t>
      </w:r>
      <w:r w:rsidR="00DD529F" w:rsidRPr="0039720D">
        <w:rPr>
          <w:rFonts w:ascii="Times New Roman" w:hAnsi="Times New Roman" w:cs="Times New Roman"/>
          <w:color w:val="000000"/>
        </w:rPr>
        <w:t>n</w:t>
      </w:r>
      <w:r w:rsidR="007E0D17" w:rsidRPr="0039720D">
        <w:rPr>
          <w:rFonts w:ascii="Times New Roman" w:hAnsi="Times New Roman" w:cs="Times New Roman"/>
          <w:color w:val="000000"/>
        </w:rPr>
        <w:t xml:space="preserve"> those at the habitual residence</w:t>
      </w:r>
      <w:r w:rsidR="002F1EA3" w:rsidRPr="0039720D">
        <w:rPr>
          <w:rFonts w:ascii="Times New Roman" w:hAnsi="Times New Roman" w:cs="Times New Roman"/>
          <w:color w:val="000000"/>
        </w:rPr>
        <w:t xml:space="preserve">, and </w:t>
      </w:r>
      <w:r w:rsidR="00DD529F" w:rsidRPr="0039720D">
        <w:rPr>
          <w:rFonts w:ascii="Times New Roman" w:hAnsi="Times New Roman" w:cs="Times New Roman"/>
          <w:color w:val="000000"/>
        </w:rPr>
        <w:t>t</w:t>
      </w:r>
      <w:r w:rsidR="002F1EA3" w:rsidRPr="0039720D">
        <w:rPr>
          <w:rFonts w:ascii="Times New Roman" w:hAnsi="Times New Roman" w:cs="Times New Roman"/>
          <w:color w:val="000000"/>
        </w:rPr>
        <w:t>he</w:t>
      </w:r>
      <w:r w:rsidR="00DD529F" w:rsidRPr="0039720D">
        <w:rPr>
          <w:rFonts w:ascii="Times New Roman" w:hAnsi="Times New Roman" w:cs="Times New Roman"/>
          <w:color w:val="000000"/>
        </w:rPr>
        <w:t xml:space="preserve"> child</w:t>
      </w:r>
      <w:r w:rsidR="002F1EA3" w:rsidRPr="0039720D">
        <w:rPr>
          <w:rFonts w:ascii="Times New Roman" w:hAnsi="Times New Roman" w:cs="Times New Roman"/>
          <w:color w:val="000000"/>
        </w:rPr>
        <w:t xml:space="preserve"> is a fan of the Seattle Seahawks</w:t>
      </w:r>
      <w:r w:rsidR="007E0D17" w:rsidRPr="0039720D">
        <w:rPr>
          <w:rFonts w:ascii="Times New Roman" w:hAnsi="Times New Roman" w:cs="Times New Roman"/>
          <w:color w:val="000000"/>
        </w:rPr>
        <w:t>.</w:t>
      </w:r>
      <w:r w:rsidR="00841ADC" w:rsidRPr="0039720D">
        <w:rPr>
          <w:rFonts w:ascii="Times New Roman" w:hAnsi="Times New Roman" w:cs="Times New Roman"/>
          <w:color w:val="000000"/>
        </w:rPr>
        <w:t xml:space="preserve"> </w:t>
      </w:r>
      <w:r w:rsidR="007E0D17" w:rsidRPr="0039720D">
        <w:rPr>
          <w:rFonts w:ascii="Times New Roman" w:hAnsi="Times New Roman" w:cs="Times New Roman"/>
          <w:color w:val="000000"/>
        </w:rPr>
        <w:t xml:space="preserve">In the former example, the child may have sufficient ability at age </w:t>
      </w:r>
      <w:r w:rsidR="00140BA6" w:rsidRPr="0039720D">
        <w:rPr>
          <w:rFonts w:ascii="Times New Roman" w:hAnsi="Times New Roman" w:cs="Times New Roman"/>
          <w:color w:val="000000"/>
        </w:rPr>
        <w:t xml:space="preserve">seven </w:t>
      </w:r>
      <w:r w:rsidR="007E0D17" w:rsidRPr="0039720D">
        <w:rPr>
          <w:rFonts w:ascii="Times New Roman" w:hAnsi="Times New Roman" w:cs="Times New Roman"/>
          <w:color w:val="000000"/>
        </w:rPr>
        <w:t>to articulate good reasons for not wishing to return home.</w:t>
      </w:r>
      <w:r w:rsidR="00841ADC" w:rsidRPr="0039720D">
        <w:rPr>
          <w:rFonts w:ascii="Times New Roman" w:hAnsi="Times New Roman" w:cs="Times New Roman"/>
          <w:color w:val="000000"/>
        </w:rPr>
        <w:t xml:space="preserve"> </w:t>
      </w:r>
      <w:r w:rsidR="007E0D17" w:rsidRPr="0039720D">
        <w:rPr>
          <w:rFonts w:ascii="Times New Roman" w:hAnsi="Times New Roman" w:cs="Times New Roman"/>
          <w:color w:val="000000"/>
        </w:rPr>
        <w:t xml:space="preserve">In the latter, a </w:t>
      </w:r>
      <w:r w:rsidR="00140BA6" w:rsidRPr="0039720D">
        <w:rPr>
          <w:rFonts w:ascii="Times New Roman" w:hAnsi="Times New Roman" w:cs="Times New Roman"/>
          <w:color w:val="000000"/>
        </w:rPr>
        <w:t>thirteen</w:t>
      </w:r>
      <w:r w:rsidR="007E0D17" w:rsidRPr="0039720D">
        <w:rPr>
          <w:rFonts w:ascii="Times New Roman" w:hAnsi="Times New Roman" w:cs="Times New Roman"/>
          <w:color w:val="000000"/>
        </w:rPr>
        <w:t>-year</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old youth may lack sufficient maturity to voice a meaningful objection to return.</w:t>
      </w:r>
      <w:r w:rsidR="00841ADC" w:rsidRPr="0039720D">
        <w:rPr>
          <w:rFonts w:ascii="Times New Roman" w:hAnsi="Times New Roman" w:cs="Times New Roman"/>
          <w:color w:val="000000"/>
        </w:rPr>
        <w:t xml:space="preserve"> </w:t>
      </w:r>
    </w:p>
    <w:p w14:paraId="1950C5DB" w14:textId="09C36C67" w:rsidR="00B87BE8" w:rsidRPr="0039720D" w:rsidRDefault="00B87BE8"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9720D">
        <w:rPr>
          <w:rFonts w:ascii="Times New Roman" w:hAnsi="Times New Roman" w:cs="Times New Roman"/>
          <w:b/>
          <w:color w:val="000000"/>
        </w:rPr>
        <w:t>Particular or General Objections to Return.</w:t>
      </w:r>
      <w:r w:rsidR="00841ADC" w:rsidRPr="0039720D">
        <w:rPr>
          <w:rFonts w:ascii="Times New Roman" w:hAnsi="Times New Roman" w:cs="Times New Roman"/>
          <w:color w:val="000000"/>
        </w:rPr>
        <w:t xml:space="preserve"> </w:t>
      </w:r>
      <w:r w:rsidR="007E0D17" w:rsidRPr="0039720D">
        <w:rPr>
          <w:rFonts w:ascii="Times New Roman" w:hAnsi="Times New Roman" w:cs="Times New Roman"/>
          <w:color w:val="000000"/>
        </w:rPr>
        <w:t>The following excerpt from</w:t>
      </w:r>
      <w:r w:rsidRPr="0039720D">
        <w:rPr>
          <w:rFonts w:ascii="Times New Roman" w:hAnsi="Times New Roman" w:cs="Times New Roman"/>
          <w:color w:val="000000"/>
        </w:rPr>
        <w:t xml:space="preserve"> the Third Circuit</w:t>
      </w:r>
      <w:r w:rsidR="00DD529F" w:rsidRPr="0039720D">
        <w:rPr>
          <w:rFonts w:ascii="Times New Roman" w:hAnsi="Times New Roman" w:cs="Times New Roman"/>
          <w:color w:val="000000"/>
        </w:rPr>
        <w:t>’</w:t>
      </w:r>
      <w:r w:rsidRPr="0039720D">
        <w:rPr>
          <w:rFonts w:ascii="Times New Roman" w:hAnsi="Times New Roman" w:cs="Times New Roman"/>
          <w:color w:val="000000"/>
        </w:rPr>
        <w:t>s opinion in</w:t>
      </w:r>
      <w:r w:rsidR="007E0D17" w:rsidRPr="0039720D">
        <w:rPr>
          <w:rFonts w:ascii="Times New Roman" w:hAnsi="Times New Roman" w:cs="Times New Roman"/>
          <w:color w:val="000000"/>
        </w:rPr>
        <w:t xml:space="preserve"> </w:t>
      </w:r>
      <w:r w:rsidRPr="0039720D">
        <w:rPr>
          <w:rFonts w:ascii="Times New Roman" w:hAnsi="Times New Roman" w:cs="Times New Roman"/>
          <w:i/>
          <w:color w:val="000000"/>
        </w:rPr>
        <w:t xml:space="preserve">Yang v. </w:t>
      </w:r>
      <w:r w:rsidR="007E0D17" w:rsidRPr="0039720D">
        <w:rPr>
          <w:rFonts w:ascii="Times New Roman" w:hAnsi="Times New Roman" w:cs="Times New Roman"/>
          <w:i/>
          <w:color w:val="000000"/>
        </w:rPr>
        <w:t>Tsui</w:t>
      </w:r>
      <w:r w:rsidRPr="0039720D">
        <w:rPr>
          <w:rStyle w:val="FootnoteReference"/>
          <w:rFonts w:ascii="Times New Roman" w:hAnsi="Times New Roman"/>
          <w:color w:val="000000"/>
          <w:sz w:val="24"/>
        </w:rPr>
        <w:footnoteReference w:id="7"/>
      </w:r>
      <w:r w:rsidR="007E0D17" w:rsidRPr="0039720D">
        <w:rPr>
          <w:rFonts w:ascii="Times New Roman" w:hAnsi="Times New Roman" w:cs="Times New Roman"/>
          <w:color w:val="000000"/>
        </w:rPr>
        <w:t xml:space="preserve"> demonstrates the essence of an analysis of sufficient maturity:</w:t>
      </w:r>
      <w:r w:rsidR="00841ADC" w:rsidRPr="0039720D">
        <w:rPr>
          <w:rFonts w:ascii="Times New Roman" w:hAnsi="Times New Roman" w:cs="Times New Roman"/>
          <w:color w:val="000000"/>
        </w:rPr>
        <w:t xml:space="preserve"> </w:t>
      </w:r>
    </w:p>
    <w:p w14:paraId="6043F270" w14:textId="3B63D126" w:rsidR="007E0D17" w:rsidRPr="0039720D" w:rsidRDefault="007E0D17"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60" w:lineRule="exact"/>
        <w:ind w:left="562" w:right="720"/>
        <w:jc w:val="both"/>
        <w:rPr>
          <w:rFonts w:ascii="Times New Roman" w:hAnsi="Times New Roman" w:cs="Times New Roman"/>
          <w:color w:val="000000"/>
          <w:sz w:val="22"/>
          <w:szCs w:val="22"/>
        </w:rPr>
      </w:pPr>
      <w:r w:rsidRPr="0039720D">
        <w:rPr>
          <w:rFonts w:ascii="Times New Roman" w:hAnsi="Times New Roman" w:cs="Times New Roman"/>
          <w:color w:val="000000"/>
          <w:sz w:val="22"/>
          <w:szCs w:val="22"/>
        </w:rPr>
        <w:t xml:space="preserve">The District Court found that </w:t>
      </w:r>
      <w:proofErr w:type="spellStart"/>
      <w:r w:rsidRPr="0039720D">
        <w:rPr>
          <w:rFonts w:ascii="Times New Roman" w:hAnsi="Times New Roman" w:cs="Times New Roman"/>
          <w:color w:val="000000"/>
          <w:sz w:val="22"/>
          <w:szCs w:val="22"/>
        </w:rPr>
        <w:t>Raeann</w:t>
      </w:r>
      <w:r w:rsidR="00DD529F" w:rsidRPr="0039720D">
        <w:rPr>
          <w:rFonts w:ascii="Times New Roman" w:hAnsi="Times New Roman" w:cs="Times New Roman"/>
          <w:color w:val="000000"/>
          <w:sz w:val="22"/>
          <w:szCs w:val="22"/>
        </w:rPr>
        <w:t>’</w:t>
      </w:r>
      <w:r w:rsidRPr="0039720D">
        <w:rPr>
          <w:rFonts w:ascii="Times New Roman" w:hAnsi="Times New Roman" w:cs="Times New Roman"/>
          <w:color w:val="000000"/>
          <w:sz w:val="22"/>
          <w:szCs w:val="22"/>
        </w:rPr>
        <w:t>s</w:t>
      </w:r>
      <w:proofErr w:type="spellEnd"/>
      <w:r w:rsidRPr="0039720D">
        <w:rPr>
          <w:rFonts w:ascii="Times New Roman" w:hAnsi="Times New Roman" w:cs="Times New Roman"/>
          <w:color w:val="000000"/>
          <w:sz w:val="22"/>
          <w:szCs w:val="22"/>
        </w:rPr>
        <w:t xml:space="preserve"> testimony did not include particularized objections to returning to Canada, but rather it indicated that she possessed a more generalized desire to remain in Pittsburgh similar to that of any ten-year-old having to move to a new location. She had reasons to support her preference to remain in the United States, but such reasons were not necessarily sufficient to invoke the exception.</w:t>
      </w:r>
      <w:r w:rsidR="00841ADC" w:rsidRPr="0039720D">
        <w:rPr>
          <w:rFonts w:ascii="Times New Roman" w:hAnsi="Times New Roman" w:cs="Times New Roman"/>
          <w:color w:val="000000"/>
          <w:sz w:val="22"/>
          <w:szCs w:val="22"/>
        </w:rPr>
        <w:t xml:space="preserve"> </w:t>
      </w:r>
      <w:r w:rsidRPr="0039720D">
        <w:rPr>
          <w:rFonts w:ascii="Times New Roman" w:hAnsi="Times New Roman" w:cs="Times New Roman"/>
          <w:color w:val="000000"/>
          <w:sz w:val="22"/>
          <w:szCs w:val="22"/>
        </w:rPr>
        <w:t>. . . .</w:t>
      </w:r>
      <w:r w:rsidR="00841ADC" w:rsidRPr="0039720D">
        <w:rPr>
          <w:rFonts w:ascii="Times New Roman" w:hAnsi="Times New Roman" w:cs="Times New Roman"/>
          <w:color w:val="000000"/>
          <w:sz w:val="22"/>
          <w:szCs w:val="22"/>
        </w:rPr>
        <w:t xml:space="preserve"> </w:t>
      </w:r>
      <w:r w:rsidRPr="0039720D">
        <w:rPr>
          <w:rFonts w:ascii="Times New Roman" w:hAnsi="Times New Roman" w:cs="Times New Roman"/>
          <w:color w:val="000000"/>
          <w:sz w:val="22"/>
          <w:szCs w:val="22"/>
        </w:rPr>
        <w:t xml:space="preserve">Despite her intelligence and demeanor, the District Court found that </w:t>
      </w:r>
      <w:proofErr w:type="spellStart"/>
      <w:r w:rsidRPr="0039720D">
        <w:rPr>
          <w:rFonts w:ascii="Times New Roman" w:hAnsi="Times New Roman" w:cs="Times New Roman"/>
          <w:color w:val="000000"/>
          <w:sz w:val="22"/>
          <w:szCs w:val="22"/>
        </w:rPr>
        <w:t>Raeann</w:t>
      </w:r>
      <w:proofErr w:type="spellEnd"/>
      <w:r w:rsidRPr="0039720D">
        <w:rPr>
          <w:rFonts w:ascii="Times New Roman" w:hAnsi="Times New Roman" w:cs="Times New Roman"/>
          <w:color w:val="000000"/>
          <w:sz w:val="22"/>
          <w:szCs w:val="22"/>
        </w:rPr>
        <w:t xml:space="preserve"> was not of sufficient age or maturity for her views to be appropriately considered.</w:t>
      </w:r>
      <w:r w:rsidR="00B87BE8" w:rsidRPr="0039720D">
        <w:rPr>
          <w:rStyle w:val="FootnoteReference"/>
          <w:rFonts w:ascii="Times New Roman" w:hAnsi="Times New Roman"/>
          <w:color w:val="000000"/>
          <w:sz w:val="22"/>
          <w:szCs w:val="22"/>
        </w:rPr>
        <w:footnoteReference w:id="8"/>
      </w:r>
      <w:r w:rsidRPr="0039720D">
        <w:rPr>
          <w:rFonts w:ascii="Times New Roman" w:hAnsi="Times New Roman" w:cs="Times New Roman"/>
          <w:color w:val="000000"/>
          <w:sz w:val="22"/>
          <w:szCs w:val="22"/>
        </w:rPr>
        <w:t xml:space="preserve"> </w:t>
      </w:r>
    </w:p>
    <w:p w14:paraId="28CE5EE3" w14:textId="687D081B" w:rsidR="007E0D17" w:rsidRPr="0039720D" w:rsidRDefault="00001FC7" w:rsidP="0016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80" w:lineRule="exact"/>
        <w:jc w:val="both"/>
        <w:rPr>
          <w:rFonts w:ascii="Times New Roman" w:hAnsi="Times New Roman" w:cs="Times New Roman"/>
          <w:color w:val="000000"/>
        </w:rPr>
      </w:pPr>
      <w:r w:rsidRPr="0039720D">
        <w:rPr>
          <w:rFonts w:ascii="Times New Roman" w:hAnsi="Times New Roman" w:cs="Times New Roman"/>
          <w:color w:val="000000"/>
        </w:rPr>
        <w:tab/>
      </w:r>
      <w:r w:rsidR="007E0D17" w:rsidRPr="0039720D">
        <w:rPr>
          <w:rFonts w:ascii="Times New Roman" w:hAnsi="Times New Roman" w:cs="Times New Roman"/>
          <w:color w:val="000000"/>
        </w:rPr>
        <w:t xml:space="preserve">In </w:t>
      </w:r>
      <w:proofErr w:type="spellStart"/>
      <w:r w:rsidR="007E0D17" w:rsidRPr="0039720D">
        <w:rPr>
          <w:rFonts w:ascii="Times New Roman" w:hAnsi="Times New Roman" w:cs="Times New Roman"/>
          <w:i/>
          <w:color w:val="000000"/>
        </w:rPr>
        <w:t>Kufner</w:t>
      </w:r>
      <w:proofErr w:type="spellEnd"/>
      <w:r w:rsidR="007E0D17" w:rsidRPr="0039720D">
        <w:rPr>
          <w:rFonts w:ascii="Times New Roman" w:hAnsi="Times New Roman" w:cs="Times New Roman"/>
          <w:i/>
          <w:color w:val="000000"/>
        </w:rPr>
        <w:t xml:space="preserve"> v. </w:t>
      </w:r>
      <w:proofErr w:type="spellStart"/>
      <w:r w:rsidR="007E0D17" w:rsidRPr="0039720D">
        <w:rPr>
          <w:rFonts w:ascii="Times New Roman" w:hAnsi="Times New Roman" w:cs="Times New Roman"/>
          <w:i/>
          <w:color w:val="000000"/>
        </w:rPr>
        <w:t>Kufner</w:t>
      </w:r>
      <w:proofErr w:type="spellEnd"/>
      <w:r w:rsidR="00DD529F" w:rsidRPr="0039720D">
        <w:rPr>
          <w:rFonts w:ascii="Times New Roman" w:hAnsi="Times New Roman" w:cs="Times New Roman"/>
          <w:color w:val="000000"/>
        </w:rPr>
        <w:t>,</w:t>
      </w:r>
      <w:r w:rsidR="00CA1DFE" w:rsidRPr="0039720D">
        <w:rPr>
          <w:rStyle w:val="FootnoteReference"/>
          <w:rFonts w:ascii="Times New Roman" w:hAnsi="Times New Roman"/>
          <w:color w:val="000000"/>
        </w:rPr>
        <w:footnoteReference w:id="9"/>
      </w:r>
      <w:r w:rsidR="00DD529F" w:rsidRPr="0039720D">
        <w:rPr>
          <w:rFonts w:ascii="Times New Roman" w:hAnsi="Times New Roman" w:cs="Times New Roman"/>
          <w:color w:val="000000"/>
        </w:rPr>
        <w:t xml:space="preserve"> </w:t>
      </w:r>
      <w:r w:rsidR="007E0D17" w:rsidRPr="0039720D">
        <w:rPr>
          <w:rFonts w:ascii="Times New Roman" w:hAnsi="Times New Roman" w:cs="Times New Roman"/>
          <w:color w:val="000000"/>
        </w:rPr>
        <w:t>the court affirmed the trial court</w:t>
      </w:r>
      <w:r w:rsidR="00DD529F" w:rsidRPr="0039720D">
        <w:rPr>
          <w:rFonts w:ascii="Times New Roman" w:hAnsi="Times New Roman" w:cs="Times New Roman"/>
          <w:color w:val="000000"/>
        </w:rPr>
        <w:t>’</w:t>
      </w:r>
      <w:r w:rsidR="007E0D17" w:rsidRPr="0039720D">
        <w:rPr>
          <w:rFonts w:ascii="Times New Roman" w:hAnsi="Times New Roman" w:cs="Times New Roman"/>
          <w:color w:val="000000"/>
        </w:rPr>
        <w:t>s refusal to allow a parent to call the child as a witness noting that the district court “properly gave little weight to their wishes because of their young ages, lack of maturity, and susceptibility to parental influence.</w:t>
      </w:r>
      <w:r w:rsidR="005F6BBE" w:rsidRPr="0039720D">
        <w:rPr>
          <w:rFonts w:ascii="Times New Roman" w:hAnsi="Times New Roman" w:cs="Times New Roman"/>
          <w:color w:val="000000"/>
        </w:rPr>
        <w:t>”</w:t>
      </w:r>
      <w:r w:rsidR="00CA1DFE" w:rsidRPr="0039720D">
        <w:rPr>
          <w:rStyle w:val="FootnoteReference"/>
          <w:rFonts w:ascii="Times New Roman" w:hAnsi="Times New Roman"/>
          <w:color w:val="000000"/>
        </w:rPr>
        <w:footnoteReference w:id="10"/>
      </w:r>
      <w:r w:rsidR="007E0D17" w:rsidRPr="0039720D">
        <w:rPr>
          <w:rFonts w:ascii="Times New Roman" w:hAnsi="Times New Roman" w:cs="Times New Roman"/>
          <w:color w:val="000000"/>
        </w:rPr>
        <w:t xml:space="preserve"> </w:t>
      </w:r>
    </w:p>
    <w:p w14:paraId="101AFD90" w14:textId="55DFA168" w:rsidR="0046011A" w:rsidRPr="0039720D" w:rsidRDefault="00131D21" w:rsidP="00166874">
      <w:pPr>
        <w:spacing w:before="120" w:after="0" w:line="280" w:lineRule="exact"/>
        <w:jc w:val="both"/>
        <w:rPr>
          <w:rFonts w:ascii="Times New Roman" w:hAnsi="Times New Roman" w:cs="Times New Roman"/>
        </w:rPr>
      </w:pPr>
      <w:r w:rsidRPr="0039720D">
        <w:rPr>
          <w:rFonts w:ascii="Times New Roman" w:hAnsi="Times New Roman" w:cs="Times New Roman"/>
          <w:b/>
        </w:rPr>
        <w:lastRenderedPageBreak/>
        <w:t>Methods of H</w:t>
      </w:r>
      <w:r w:rsidR="00B87BE8" w:rsidRPr="0039720D">
        <w:rPr>
          <w:rFonts w:ascii="Times New Roman" w:hAnsi="Times New Roman" w:cs="Times New Roman"/>
          <w:b/>
        </w:rPr>
        <w:t>earing Child</w:t>
      </w:r>
      <w:r w:rsidR="00DD529F" w:rsidRPr="0039720D">
        <w:rPr>
          <w:rFonts w:ascii="Times New Roman" w:hAnsi="Times New Roman" w:cs="Times New Roman"/>
          <w:b/>
        </w:rPr>
        <w:t>’</w:t>
      </w:r>
      <w:r w:rsidR="00B87BE8" w:rsidRPr="0039720D">
        <w:rPr>
          <w:rFonts w:ascii="Times New Roman" w:hAnsi="Times New Roman" w:cs="Times New Roman"/>
          <w:b/>
        </w:rPr>
        <w:t>s Objections.</w:t>
      </w:r>
      <w:r w:rsidR="00841ADC" w:rsidRPr="0039720D">
        <w:rPr>
          <w:rFonts w:ascii="Times New Roman" w:hAnsi="Times New Roman" w:cs="Times New Roman"/>
          <w:b/>
        </w:rPr>
        <w:t xml:space="preserve"> </w:t>
      </w:r>
      <w:r w:rsidR="008B3DDE" w:rsidRPr="0039720D">
        <w:rPr>
          <w:rFonts w:ascii="Times New Roman" w:hAnsi="Times New Roman" w:cs="Times New Roman"/>
        </w:rPr>
        <w:t>Many</w:t>
      </w:r>
      <w:r w:rsidR="00B87BE8" w:rsidRPr="0039720D">
        <w:rPr>
          <w:rFonts w:ascii="Times New Roman" w:hAnsi="Times New Roman" w:cs="Times New Roman"/>
        </w:rPr>
        <w:t xml:space="preserve"> courts take evidence of the child</w:t>
      </w:r>
      <w:r w:rsidR="00DD529F" w:rsidRPr="0039720D">
        <w:rPr>
          <w:rFonts w:ascii="Times New Roman" w:hAnsi="Times New Roman" w:cs="Times New Roman"/>
        </w:rPr>
        <w:t>’</w:t>
      </w:r>
      <w:r w:rsidR="00B87BE8" w:rsidRPr="0039720D">
        <w:rPr>
          <w:rFonts w:ascii="Times New Roman" w:hAnsi="Times New Roman" w:cs="Times New Roman"/>
        </w:rPr>
        <w:t xml:space="preserve">s objections by the </w:t>
      </w:r>
      <w:r w:rsidR="008B3DDE" w:rsidRPr="0039720D">
        <w:rPr>
          <w:rFonts w:ascii="Times New Roman" w:hAnsi="Times New Roman" w:cs="Times New Roman"/>
        </w:rPr>
        <w:t>judge</w:t>
      </w:r>
      <w:r w:rsidR="00B87BE8" w:rsidRPr="0039720D">
        <w:rPr>
          <w:rFonts w:ascii="Times New Roman" w:hAnsi="Times New Roman" w:cs="Times New Roman"/>
        </w:rPr>
        <w:t xml:space="preserve"> personally interviewing the child in chambers.</w:t>
      </w:r>
      <w:r w:rsidRPr="0039720D">
        <w:rPr>
          <w:rStyle w:val="FootnoteReference"/>
          <w:rFonts w:ascii="Times New Roman" w:hAnsi="Times New Roman"/>
          <w:sz w:val="24"/>
        </w:rPr>
        <w:footnoteReference w:id="11"/>
      </w:r>
      <w:r w:rsidR="00841ADC" w:rsidRPr="0039720D">
        <w:rPr>
          <w:rFonts w:ascii="Times New Roman" w:hAnsi="Times New Roman" w:cs="Times New Roman"/>
        </w:rPr>
        <w:t xml:space="preserve"> </w:t>
      </w:r>
      <w:r w:rsidRPr="0039720D">
        <w:rPr>
          <w:rFonts w:ascii="Times New Roman" w:hAnsi="Times New Roman" w:cs="Times New Roman"/>
        </w:rPr>
        <w:t xml:space="preserve">Other methods include </w:t>
      </w:r>
    </w:p>
    <w:p w14:paraId="313F92BC" w14:textId="7F3B7397" w:rsidR="00131D21" w:rsidRPr="0039720D" w:rsidRDefault="005F6BBE" w:rsidP="00166874">
      <w:pPr>
        <w:spacing w:before="120" w:after="0" w:line="280" w:lineRule="exact"/>
        <w:ind w:left="1080" w:hanging="360"/>
        <w:jc w:val="both"/>
        <w:rPr>
          <w:rFonts w:ascii="Times New Roman" w:hAnsi="Times New Roman" w:cs="Times New Roman"/>
        </w:rPr>
      </w:pPr>
      <w:r w:rsidRPr="0039720D">
        <w:rPr>
          <w:rFonts w:ascii="Times New Roman" w:hAnsi="Times New Roman" w:cs="Times New Roman"/>
        </w:rPr>
        <w:t>•</w:t>
      </w:r>
      <w:r w:rsidRPr="0039720D">
        <w:rPr>
          <w:rFonts w:ascii="Times New Roman" w:hAnsi="Times New Roman" w:cs="Times New Roman"/>
        </w:rPr>
        <w:tab/>
        <w:t>a</w:t>
      </w:r>
      <w:r w:rsidR="00131D21" w:rsidRPr="0039720D">
        <w:rPr>
          <w:rFonts w:ascii="Times New Roman" w:hAnsi="Times New Roman" w:cs="Times New Roman"/>
        </w:rPr>
        <w:t>dmitting a psychological evaluation of the child;</w:t>
      </w:r>
    </w:p>
    <w:p w14:paraId="36FF9208" w14:textId="3B82B8CF" w:rsidR="00131D21" w:rsidRPr="0039720D" w:rsidRDefault="005F6BBE" w:rsidP="00166874">
      <w:pPr>
        <w:spacing w:before="120" w:after="0" w:line="280" w:lineRule="exact"/>
        <w:ind w:left="1080" w:hanging="360"/>
        <w:jc w:val="both"/>
        <w:rPr>
          <w:rFonts w:ascii="Times New Roman" w:hAnsi="Times New Roman" w:cs="Times New Roman"/>
        </w:rPr>
      </w:pPr>
      <w:r w:rsidRPr="0039720D">
        <w:rPr>
          <w:rFonts w:ascii="Times New Roman" w:hAnsi="Times New Roman" w:cs="Times New Roman"/>
        </w:rPr>
        <w:t>•</w:t>
      </w:r>
      <w:r w:rsidRPr="0039720D">
        <w:rPr>
          <w:rFonts w:ascii="Times New Roman" w:hAnsi="Times New Roman" w:cs="Times New Roman"/>
        </w:rPr>
        <w:tab/>
        <w:t>a</w:t>
      </w:r>
      <w:r w:rsidR="00131D21" w:rsidRPr="0039720D">
        <w:rPr>
          <w:rFonts w:ascii="Times New Roman" w:hAnsi="Times New Roman" w:cs="Times New Roman"/>
        </w:rPr>
        <w:t>ppoint</w:t>
      </w:r>
      <w:r w:rsidRPr="0039720D">
        <w:rPr>
          <w:rFonts w:ascii="Times New Roman" w:hAnsi="Times New Roman" w:cs="Times New Roman"/>
        </w:rPr>
        <w:t>ing</w:t>
      </w:r>
      <w:r w:rsidR="00131D21" w:rsidRPr="0039720D">
        <w:rPr>
          <w:rFonts w:ascii="Times New Roman" w:hAnsi="Times New Roman" w:cs="Times New Roman"/>
        </w:rPr>
        <w:t xml:space="preserve"> an attorney or guardian ad litem to represent the interests of the child;</w:t>
      </w:r>
    </w:p>
    <w:p w14:paraId="56C17EC4" w14:textId="3E8A63A2" w:rsidR="00131D21" w:rsidRPr="0039720D" w:rsidRDefault="005F6BBE" w:rsidP="00166874">
      <w:pPr>
        <w:spacing w:before="120" w:after="0" w:line="280" w:lineRule="exact"/>
        <w:ind w:left="1080" w:hanging="360"/>
        <w:jc w:val="both"/>
        <w:rPr>
          <w:rFonts w:ascii="Times New Roman" w:hAnsi="Times New Roman" w:cs="Times New Roman"/>
        </w:rPr>
      </w:pPr>
      <w:r w:rsidRPr="0039720D">
        <w:rPr>
          <w:rFonts w:ascii="Times New Roman" w:hAnsi="Times New Roman" w:cs="Times New Roman"/>
        </w:rPr>
        <w:t>•</w:t>
      </w:r>
      <w:r w:rsidRPr="0039720D">
        <w:rPr>
          <w:rFonts w:ascii="Times New Roman" w:hAnsi="Times New Roman" w:cs="Times New Roman"/>
        </w:rPr>
        <w:tab/>
        <w:t>a</w:t>
      </w:r>
      <w:r w:rsidR="00131D21" w:rsidRPr="0039720D">
        <w:rPr>
          <w:rFonts w:ascii="Times New Roman" w:hAnsi="Times New Roman" w:cs="Times New Roman"/>
        </w:rPr>
        <w:t>llowing the child to testify in open court.</w:t>
      </w:r>
      <w:r w:rsidR="00131D21" w:rsidRPr="0039720D">
        <w:rPr>
          <w:rStyle w:val="FootnoteReference"/>
          <w:rFonts w:ascii="Times New Roman" w:hAnsi="Times New Roman"/>
          <w:sz w:val="24"/>
        </w:rPr>
        <w:footnoteReference w:id="12"/>
      </w:r>
    </w:p>
    <w:p w14:paraId="4C801D19" w14:textId="77777777" w:rsidR="00131D21" w:rsidRPr="0039720D" w:rsidRDefault="00131D21" w:rsidP="00131D21">
      <w:pPr>
        <w:jc w:val="both"/>
        <w:rPr>
          <w:rFonts w:ascii="Times New Roman" w:hAnsi="Times New Roman" w:cs="Times New Roman"/>
        </w:rPr>
      </w:pPr>
    </w:p>
    <w:p w14:paraId="2C3E2CA7" w14:textId="77777777" w:rsidR="00131D21" w:rsidRPr="0039720D" w:rsidRDefault="00131D21" w:rsidP="00131D21">
      <w:pPr>
        <w:jc w:val="both"/>
        <w:rPr>
          <w:rFonts w:ascii="Times New Roman" w:hAnsi="Times New Roman" w:cs="Times New Roman"/>
        </w:rPr>
      </w:pPr>
    </w:p>
    <w:sectPr w:rsidR="00131D21" w:rsidRPr="0039720D" w:rsidSect="004552A3">
      <w:footerReference w:type="even" r:id="rId7"/>
      <w:footerReference w:type="default" r:id="rId8"/>
      <w:pgSz w:w="12240" w:h="15840"/>
      <w:pgMar w:top="1728" w:right="1800" w:bottom="1728" w:left="1800" w:header="720" w:footer="100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DFCFF" w14:textId="77777777" w:rsidR="00922DB4" w:rsidRDefault="00922DB4" w:rsidP="0043257A">
      <w:pPr>
        <w:spacing w:after="0"/>
      </w:pPr>
      <w:r>
        <w:separator/>
      </w:r>
    </w:p>
  </w:endnote>
  <w:endnote w:type="continuationSeparator" w:id="0">
    <w:p w14:paraId="7A005C59" w14:textId="77777777" w:rsidR="00922DB4" w:rsidRDefault="00922DB4" w:rsidP="004325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Berkeley">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inion Pro">
    <w:altName w:val="Luminari"/>
    <w:charset w:val="00"/>
    <w:family w:val="auto"/>
    <w:pitch w:val="variable"/>
    <w:sig w:usb0="60000287" w:usb1="00000001"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598F" w14:textId="77777777" w:rsidR="0039720D" w:rsidRDefault="0039720D" w:rsidP="008B3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0DBE4" w14:textId="77777777" w:rsidR="0039720D" w:rsidRDefault="0039720D" w:rsidP="00250B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A9F9" w14:textId="77777777" w:rsidR="0039720D" w:rsidRPr="00D13422" w:rsidRDefault="0039720D" w:rsidP="00D13422">
    <w:pPr>
      <w:pStyle w:val="Footer"/>
      <w:framePr w:w="53" w:wrap="around" w:vAnchor="text" w:hAnchor="margin" w:xAlign="right" w:y="3"/>
      <w:rPr>
        <w:rStyle w:val="PageNumber"/>
        <w:rFonts w:ascii="Times New Roman" w:hAnsi="Times New Roman" w:cs="Times New Roman"/>
        <w:b/>
        <w:sz w:val="18"/>
        <w:szCs w:val="18"/>
      </w:rPr>
    </w:pPr>
    <w:r w:rsidRPr="00D13422">
      <w:rPr>
        <w:rStyle w:val="PageNumber"/>
        <w:rFonts w:ascii="Times New Roman" w:hAnsi="Times New Roman" w:cs="Times New Roman"/>
        <w:b/>
        <w:sz w:val="18"/>
        <w:szCs w:val="18"/>
      </w:rPr>
      <w:fldChar w:fldCharType="begin"/>
    </w:r>
    <w:r w:rsidRPr="00D13422">
      <w:rPr>
        <w:rStyle w:val="PageNumber"/>
        <w:rFonts w:ascii="Times New Roman" w:hAnsi="Times New Roman" w:cs="Times New Roman"/>
        <w:b/>
        <w:sz w:val="18"/>
        <w:szCs w:val="18"/>
      </w:rPr>
      <w:instrText xml:space="preserve">PAGE  </w:instrText>
    </w:r>
    <w:r w:rsidRPr="00D13422">
      <w:rPr>
        <w:rStyle w:val="PageNumber"/>
        <w:rFonts w:ascii="Times New Roman" w:hAnsi="Times New Roman" w:cs="Times New Roman"/>
        <w:b/>
        <w:sz w:val="18"/>
        <w:szCs w:val="18"/>
      </w:rPr>
      <w:fldChar w:fldCharType="separate"/>
    </w:r>
    <w:r w:rsidR="00904E74">
      <w:rPr>
        <w:rStyle w:val="PageNumber"/>
        <w:rFonts w:ascii="Times New Roman" w:hAnsi="Times New Roman" w:cs="Times New Roman"/>
        <w:b/>
        <w:noProof/>
        <w:sz w:val="18"/>
        <w:szCs w:val="18"/>
      </w:rPr>
      <w:t>1</w:t>
    </w:r>
    <w:r w:rsidRPr="00D13422">
      <w:rPr>
        <w:rStyle w:val="PageNumber"/>
        <w:rFonts w:ascii="Times New Roman" w:hAnsi="Times New Roman" w:cs="Times New Roman"/>
        <w:b/>
        <w:sz w:val="18"/>
        <w:szCs w:val="18"/>
      </w:rPr>
      <w:fldChar w:fldCharType="end"/>
    </w:r>
  </w:p>
  <w:p w14:paraId="0E042FDF" w14:textId="71517F4C" w:rsidR="0039720D" w:rsidRPr="00D13422" w:rsidRDefault="0039720D" w:rsidP="00250BD2">
    <w:pPr>
      <w:pStyle w:val="Footer"/>
      <w:ind w:right="360"/>
      <w:rPr>
        <w:rFonts w:ascii="Times New Roman" w:hAnsi="Times New Roman" w:cs="Times New Roman"/>
        <w:b/>
        <w:sz w:val="18"/>
        <w:szCs w:val="18"/>
      </w:rPr>
    </w:pPr>
    <w:r w:rsidRPr="00D13422">
      <w:rPr>
        <w:rFonts w:ascii="Times New Roman" w:hAnsi="Times New Roman" w:cs="Times New Roman"/>
        <w:b/>
        <w:sz w:val="18"/>
        <w:szCs w:val="18"/>
      </w:rPr>
      <w:t>The 1980 Hague Convention – FAQ – Objections of the Child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3173" w14:textId="77777777" w:rsidR="00922DB4" w:rsidRDefault="00922DB4" w:rsidP="0043257A">
      <w:pPr>
        <w:spacing w:after="0"/>
      </w:pPr>
      <w:r>
        <w:separator/>
      </w:r>
    </w:p>
  </w:footnote>
  <w:footnote w:type="continuationSeparator" w:id="0">
    <w:p w14:paraId="487727F5" w14:textId="77777777" w:rsidR="00922DB4" w:rsidRDefault="00922DB4" w:rsidP="0043257A">
      <w:pPr>
        <w:spacing w:after="0"/>
      </w:pPr>
      <w:r>
        <w:continuationSeparator/>
      </w:r>
    </w:p>
  </w:footnote>
  <w:footnote w:id="1">
    <w:p w14:paraId="031D5A4D" w14:textId="15E9E77F" w:rsidR="0039720D" w:rsidRPr="00D13422" w:rsidRDefault="0039720D" w:rsidP="00841ADC">
      <w:pPr>
        <w:pStyle w:val="FootnoteText"/>
        <w:tabs>
          <w:tab w:val="left" w:pos="360"/>
        </w:tabs>
        <w:rPr>
          <w:rFonts w:ascii="Times New Roman" w:hAnsi="Times New Roman"/>
          <w:sz w:val="20"/>
          <w:szCs w:val="20"/>
        </w:rPr>
      </w:pPr>
      <w:r w:rsidRPr="00C05B37">
        <w:rPr>
          <w:rFonts w:ascii="Minion Pro" w:hAnsi="Minion Pro"/>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42 U.S.C. § 11603(e)(2); Karpenko v. Leendertz, 619 F.3d 259, 263n.3 (3d Cir. 2010); Mendoza v. Silva, 987 F. Supp. 2d 883 (N.D. Iowa 2013); Gallardo v. Orozco, 954 F. Supp. 2d 555 (W.D. Tex. 2013).</w:t>
      </w:r>
    </w:p>
  </w:footnote>
  <w:footnote w:id="2">
    <w:p w14:paraId="70207B32" w14:textId="04D8D636" w:rsidR="0039720D" w:rsidRPr="00D13422" w:rsidRDefault="0039720D" w:rsidP="00841ADC">
      <w:pPr>
        <w:pStyle w:val="FootnoteText"/>
        <w:tabs>
          <w:tab w:val="left" w:pos="360"/>
        </w:tabs>
        <w:spacing w:line="240" w:lineRule="auto"/>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947 F. Supp. 2d 578 (D.S.C. 2013).</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"Hirst v. Tiberghien, 947 F.Supp.2d 578 (D.S.C. 2013)" \s "947 F.Supp.2d 578 (D.S.C. 2013)" \c 1 </w:instrText>
      </w:r>
      <w:r w:rsidRPr="00D13422">
        <w:rPr>
          <w:rFonts w:ascii="Times New Roman" w:hAnsi="Times New Roman"/>
          <w:sz w:val="20"/>
          <w:szCs w:val="20"/>
        </w:rPr>
        <w:fldChar w:fldCharType="end"/>
      </w:r>
    </w:p>
  </w:footnote>
  <w:footnote w:id="3">
    <w:p w14:paraId="29232BDF" w14:textId="369FE1B5" w:rsidR="0039720D" w:rsidRPr="00D13422" w:rsidRDefault="0039720D" w:rsidP="00841ADC">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20"/>
          <w:szCs w:val="20"/>
        </w:rPr>
      </w:pPr>
      <w:r w:rsidRPr="00D13422">
        <w:rPr>
          <w:rFonts w:ascii="Times New Roman" w:hAnsi="Times New Roman" w:cs="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cs="Times New Roman"/>
          <w:sz w:val="20"/>
          <w:szCs w:val="20"/>
        </w:rPr>
        <w:t xml:space="preserve">. </w:t>
      </w:r>
      <w:hyperlink r:id="rId1" w:history="1">
        <w:r w:rsidRPr="00D13422">
          <w:rPr>
            <w:rFonts w:ascii="Times New Roman" w:hAnsi="Times New Roman" w:cs="Times New Roman"/>
            <w:color w:val="000000"/>
            <w:sz w:val="20"/>
            <w:szCs w:val="20"/>
          </w:rPr>
          <w:t>England v. England, 234 F.3d 268, 271 (5th Cir. 2000)</w:t>
        </w:r>
      </w:hyperlink>
      <w:r w:rsidRPr="00D13422">
        <w:rPr>
          <w:rFonts w:ascii="Times New Roman" w:hAnsi="Times New Roman" w:cs="Times New Roman"/>
          <w:color w:val="000000"/>
          <w:sz w:val="20"/>
          <w:szCs w:val="20"/>
        </w:rPr>
        <w:t xml:space="preserve">. </w:t>
      </w:r>
    </w:p>
  </w:footnote>
  <w:footnote w:id="4">
    <w:p w14:paraId="4556C37B" w14:textId="4E5A9A28" w:rsidR="0039720D" w:rsidRPr="00D13422" w:rsidRDefault="0039720D" w:rsidP="00841ADC">
      <w:pPr>
        <w:pStyle w:val="FootnoteText"/>
        <w:tabs>
          <w:tab w:val="left" w:pos="360"/>
        </w:tabs>
        <w:rPr>
          <w:rFonts w:ascii="Times New Roman" w:hAnsi="Times New Roman"/>
          <w:b/>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238 F.3d 153, 164 (2d Cir. 2001).</w:t>
      </w:r>
    </w:p>
  </w:footnote>
  <w:footnote w:id="5">
    <w:p w14:paraId="20F47EB1" w14:textId="584046A3" w:rsidR="0039720D" w:rsidRPr="00D13422" w:rsidRDefault="0039720D" w:rsidP="00841ADC">
      <w:pPr>
        <w:pStyle w:val="FootnoteText"/>
        <w:tabs>
          <w:tab w:val="left" w:pos="360"/>
        </w:tabs>
        <w:rPr>
          <w:rFonts w:ascii="Times New Roman" w:hAnsi="Times New Roman"/>
          <w:sz w:val="20"/>
          <w:szCs w:val="20"/>
        </w:rPr>
      </w:pPr>
      <w:r w:rsidRPr="00C05B37">
        <w:rPr>
          <w:rFonts w:ascii="Minion Pro" w:hAnsi="Minion Pro"/>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sz w:val="20"/>
          <w:szCs w:val="20"/>
        </w:rPr>
        <w:t>See, e.g.</w:t>
      </w:r>
      <w:r w:rsidRPr="00D13422">
        <w:rPr>
          <w:rFonts w:ascii="Times New Roman" w:hAnsi="Times New Roman"/>
          <w:sz w:val="20"/>
          <w:szCs w:val="20"/>
        </w:rPr>
        <w:t xml:space="preserve">, Anderson v. </w:t>
      </w:r>
      <w:proofErr w:type="spellStart"/>
      <w:r w:rsidRPr="00D13422">
        <w:rPr>
          <w:rFonts w:ascii="Times New Roman" w:hAnsi="Times New Roman"/>
          <w:sz w:val="20"/>
          <w:szCs w:val="20"/>
        </w:rPr>
        <w:t>Acree</w:t>
      </w:r>
      <w:proofErr w:type="spellEnd"/>
      <w:r w:rsidRPr="00D13422">
        <w:rPr>
          <w:rFonts w:ascii="Times New Roman" w:hAnsi="Times New Roman"/>
          <w:sz w:val="20"/>
          <w:szCs w:val="20"/>
        </w:rPr>
        <w:t>, 250 F. Supp. 2d 876 (S.D. Ohio 2002)</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"Anderson v. Acree, 250 F. Supp. 2d 872 (S.D. Ohio 2002)" </w:instrText>
      </w:r>
      <w:r w:rsidRPr="00D13422">
        <w:rPr>
          <w:rFonts w:ascii="Times New Roman" w:hAnsi="Times New Roman"/>
          <w:sz w:val="20"/>
          <w:szCs w:val="20"/>
        </w:rPr>
        <w:fldChar w:fldCharType="end"/>
      </w:r>
      <w:r w:rsidRPr="00D13422">
        <w:rPr>
          <w:rFonts w:ascii="Times New Roman" w:hAnsi="Times New Roman"/>
          <w:sz w:val="20"/>
          <w:szCs w:val="20"/>
        </w:rPr>
        <w:t xml:space="preserve">; </w:t>
      </w:r>
      <w:proofErr w:type="spellStart"/>
      <w:r w:rsidRPr="00D13422">
        <w:rPr>
          <w:rFonts w:ascii="Times New Roman" w:hAnsi="Times New Roman"/>
          <w:sz w:val="20"/>
          <w:szCs w:val="20"/>
        </w:rPr>
        <w:t>Raijmakers-Eghaghe</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Haro</w:t>
      </w:r>
      <w:proofErr w:type="spellEnd"/>
      <w:r w:rsidRPr="00D13422">
        <w:rPr>
          <w:rFonts w:ascii="Times New Roman" w:hAnsi="Times New Roman"/>
          <w:sz w:val="20"/>
          <w:szCs w:val="20"/>
        </w:rPr>
        <w:t>, 131 F. Supp. 2d 953, 957–58 (E.D. Mich. 2001)</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"Raijmakers-Eghaghe v. Haro, 131 F. Supp. 2d 953 (E.D. Mich. 2001)" \s "Raijmakers-Eghaghe v. Haro, 131 F. Supp. 2d 953 (E.D. Mich. 2001)" \c 1 </w:instrText>
      </w:r>
      <w:r w:rsidRPr="00D13422">
        <w:rPr>
          <w:rFonts w:ascii="Times New Roman" w:hAnsi="Times New Roman"/>
          <w:sz w:val="20"/>
          <w:szCs w:val="20"/>
        </w:rPr>
        <w:fldChar w:fldCharType="end"/>
      </w:r>
      <w:r w:rsidRPr="00D13422">
        <w:rPr>
          <w:rFonts w:ascii="Times New Roman" w:hAnsi="Times New Roman"/>
          <w:sz w:val="20"/>
          <w:szCs w:val="20"/>
        </w:rPr>
        <w:t xml:space="preserve"> (ordering psychological examination to determine degree of maturity of eight year old); </w:t>
      </w:r>
      <w:r w:rsidRPr="00D13422">
        <w:rPr>
          <w:rFonts w:ascii="Times New Roman" w:hAnsi="Times New Roman"/>
          <w:i/>
          <w:sz w:val="20"/>
          <w:szCs w:val="20"/>
        </w:rPr>
        <w:t>cf.</w:t>
      </w:r>
      <w:r w:rsidRPr="00D13422">
        <w:rPr>
          <w:rFonts w:ascii="Times New Roman" w:hAnsi="Times New Roman"/>
          <w:sz w:val="20"/>
          <w:szCs w:val="20"/>
        </w:rPr>
        <w:t xml:space="preserve"> </w:t>
      </w:r>
      <w:proofErr w:type="spellStart"/>
      <w:r w:rsidRPr="00D13422">
        <w:rPr>
          <w:rFonts w:ascii="Times New Roman" w:hAnsi="Times New Roman"/>
          <w:sz w:val="20"/>
          <w:szCs w:val="20"/>
        </w:rPr>
        <w:t>Kufner</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Kufner</w:t>
      </w:r>
      <w:proofErr w:type="spellEnd"/>
      <w:r w:rsidRPr="00D13422">
        <w:rPr>
          <w:rFonts w:ascii="Times New Roman" w:hAnsi="Times New Roman"/>
          <w:sz w:val="20"/>
          <w:szCs w:val="20"/>
        </w:rPr>
        <w:t xml:space="preserve">, 519 F.3d 33 (1st Cir. 2008)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"Kufner v. Kufner, 519 F.3d 33 (1st Cir. 2008)" </w:instrText>
      </w:r>
      <w:r w:rsidRPr="00D13422">
        <w:rPr>
          <w:rFonts w:ascii="Times New Roman" w:hAnsi="Times New Roman"/>
          <w:sz w:val="20"/>
          <w:szCs w:val="20"/>
        </w:rPr>
        <w:fldChar w:fldCharType="end"/>
      </w:r>
      <w:r w:rsidRPr="00D13422">
        <w:rPr>
          <w:rFonts w:ascii="Times New Roman" w:hAnsi="Times New Roman"/>
          <w:sz w:val="20"/>
          <w:szCs w:val="20"/>
        </w:rPr>
        <w:t xml:space="preserve">(not allowing an eight year old to testify). </w:t>
      </w:r>
      <w:r w:rsidRPr="00D13422">
        <w:rPr>
          <w:rFonts w:ascii="Times New Roman" w:hAnsi="Times New Roman"/>
          <w:i/>
          <w:sz w:val="20"/>
          <w:szCs w:val="20"/>
        </w:rPr>
        <w:t>See also</w:t>
      </w:r>
      <w:r w:rsidRPr="00D13422">
        <w:rPr>
          <w:rFonts w:ascii="Times New Roman" w:hAnsi="Times New Roman"/>
          <w:sz w:val="20"/>
          <w:szCs w:val="20"/>
        </w:rPr>
        <w:t xml:space="preserve"> Bonilla-Ruiz v. Bonilla, No. 255772, 2004 WL 2883247 (Mich. App. Dec. 14, 2004)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"Bonilla-Ruiz v. Bonilla, 2004 WL 2883247  (unreported disposition) Mich. App.(2004)" \s "Bonilla-Ruiz v. Bonilla, 2004 WL 2883247  (unreported disposition) Mich. App.(2004)" \c 1 </w:instrText>
      </w:r>
      <w:r w:rsidRPr="00D13422">
        <w:rPr>
          <w:rFonts w:ascii="Times New Roman" w:hAnsi="Times New Roman"/>
          <w:sz w:val="20"/>
          <w:szCs w:val="20"/>
        </w:rPr>
        <w:fldChar w:fldCharType="end"/>
      </w:r>
      <w:r w:rsidRPr="00D13422">
        <w:rPr>
          <w:rFonts w:ascii="Times New Roman" w:hAnsi="Times New Roman"/>
          <w:sz w:val="20"/>
          <w:szCs w:val="20"/>
        </w:rPr>
        <w:t>(eight-year-old child sufficiently mature).</w:t>
      </w:r>
    </w:p>
  </w:footnote>
  <w:footnote w:id="6">
    <w:p w14:paraId="01375C0B" w14:textId="529A95EF"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sz w:val="20"/>
          <w:szCs w:val="20"/>
        </w:rPr>
        <w:t>See England</w:t>
      </w:r>
      <w:r w:rsidRPr="00D13422">
        <w:rPr>
          <w:rFonts w:ascii="Times New Roman" w:hAnsi="Times New Roman"/>
          <w:sz w:val="20"/>
          <w:szCs w:val="20"/>
        </w:rPr>
        <w:t xml:space="preserve">, 234 F.3d at 272–73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"England v. England, 234 F.3d 268 (5th Cir. 2000)" \s "England v. England, 234 F.3d 268 (5th Cir. 2000)" \c 1 </w:instrText>
      </w:r>
      <w:r w:rsidRPr="00D13422">
        <w:rPr>
          <w:rFonts w:ascii="Times New Roman" w:hAnsi="Times New Roman"/>
          <w:sz w:val="20"/>
          <w:szCs w:val="20"/>
        </w:rPr>
        <w:fldChar w:fldCharType="end"/>
      </w:r>
      <w:r w:rsidRPr="00D13422">
        <w:rPr>
          <w:rFonts w:ascii="Times New Roman" w:hAnsi="Times New Roman"/>
          <w:sz w:val="20"/>
          <w:szCs w:val="20"/>
        </w:rPr>
        <w:t xml:space="preserve">(finding fourteen-year-old child did not meet standard); </w:t>
      </w:r>
      <w:proofErr w:type="spellStart"/>
      <w:r w:rsidRPr="00D13422">
        <w:rPr>
          <w:rFonts w:ascii="Times New Roman" w:hAnsi="Times New Roman"/>
          <w:sz w:val="20"/>
          <w:szCs w:val="20"/>
        </w:rPr>
        <w:t>Trudrung</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Trudrung</w:t>
      </w:r>
      <w:proofErr w:type="spellEnd"/>
      <w:r w:rsidRPr="00D13422">
        <w:rPr>
          <w:rFonts w:ascii="Times New Roman" w:hAnsi="Times New Roman"/>
          <w:sz w:val="20"/>
          <w:szCs w:val="20"/>
        </w:rPr>
        <w:t>, 686 F. Supp. 2d 570 (M.D.N.C. 2010)</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"Trudrung v. Trudrung, 686 F. Supp. 2d 570 (M.D.N.C. 2010)" </w:instrText>
      </w:r>
      <w:r w:rsidRPr="00D13422">
        <w:rPr>
          <w:rFonts w:ascii="Times New Roman" w:hAnsi="Times New Roman"/>
          <w:sz w:val="20"/>
          <w:szCs w:val="20"/>
        </w:rPr>
        <w:fldChar w:fldCharType="end"/>
      </w:r>
      <w:r w:rsidRPr="00D13422">
        <w:rPr>
          <w:rFonts w:ascii="Times New Roman" w:hAnsi="Times New Roman"/>
          <w:sz w:val="20"/>
          <w:szCs w:val="20"/>
        </w:rPr>
        <w:t xml:space="preserve"> (returning a fifteen-and-a-half year old despite objection); Barrera </w:t>
      </w:r>
      <w:proofErr w:type="spellStart"/>
      <w:r w:rsidRPr="00D13422">
        <w:rPr>
          <w:rFonts w:ascii="Times New Roman" w:hAnsi="Times New Roman"/>
          <w:sz w:val="20"/>
          <w:szCs w:val="20"/>
        </w:rPr>
        <w:t>Casimiro</w:t>
      </w:r>
      <w:proofErr w:type="spellEnd"/>
      <w:r w:rsidRPr="00D13422">
        <w:rPr>
          <w:rFonts w:ascii="Times New Roman" w:hAnsi="Times New Roman"/>
          <w:sz w:val="20"/>
          <w:szCs w:val="20"/>
        </w:rPr>
        <w:t xml:space="preserve"> v. Pineda Chavez, No. Civ. A.1:06CV1889-ODE, 2006 WL 2938713 (N.D. Ga. Oct. 13, 2006)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"Barrera Casimiro v. Pineda Chavez 2006 WL 2938713 (N.D. Ga. 2006)(unreported disposition)" </w:instrText>
      </w:r>
      <w:r w:rsidRPr="00D13422">
        <w:rPr>
          <w:rFonts w:ascii="Times New Roman" w:hAnsi="Times New Roman"/>
          <w:sz w:val="20"/>
          <w:szCs w:val="20"/>
        </w:rPr>
        <w:fldChar w:fldCharType="end"/>
      </w:r>
      <w:r w:rsidRPr="00D13422">
        <w:rPr>
          <w:rFonts w:ascii="Times New Roman" w:hAnsi="Times New Roman"/>
          <w:sz w:val="20"/>
          <w:szCs w:val="20"/>
        </w:rPr>
        <w:t>(finding fifteen year old failed to appreciate her immigration status as an incident of her non-return).</w:t>
      </w:r>
    </w:p>
  </w:footnote>
  <w:footnote w:id="7">
    <w:p w14:paraId="2841A7BE" w14:textId="0F76E2F8"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color w:val="000000"/>
          <w:sz w:val="20"/>
          <w:szCs w:val="20"/>
        </w:rPr>
        <w:t>499 F.3d 259 (3d Cir. 2007).</w:t>
      </w:r>
    </w:p>
  </w:footnote>
  <w:footnote w:id="8">
    <w:p w14:paraId="37EFA257" w14:textId="6B6A8EDA"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color w:val="000000"/>
          <w:sz w:val="20"/>
          <w:szCs w:val="20"/>
        </w:rPr>
        <w:t>Id</w:t>
      </w:r>
      <w:r w:rsidRPr="00D13422">
        <w:rPr>
          <w:rFonts w:ascii="Times New Roman" w:hAnsi="Times New Roman"/>
          <w:color w:val="000000"/>
          <w:sz w:val="20"/>
          <w:szCs w:val="20"/>
        </w:rPr>
        <w:t>. at 279.</w:t>
      </w:r>
    </w:p>
  </w:footnote>
  <w:footnote w:id="9">
    <w:p w14:paraId="6854B2C8" w14:textId="5EEE0235"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519 F.3d 33 (1st Cir. 2008).</w:t>
      </w:r>
    </w:p>
  </w:footnote>
  <w:footnote w:id="10">
    <w:p w14:paraId="514DEFDA" w14:textId="349AA2FB"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sz w:val="20"/>
          <w:szCs w:val="20"/>
        </w:rPr>
        <w:t>Id</w:t>
      </w:r>
      <w:r w:rsidRPr="00D13422">
        <w:rPr>
          <w:rFonts w:ascii="Times New Roman" w:hAnsi="Times New Roman"/>
          <w:sz w:val="20"/>
          <w:szCs w:val="20"/>
        </w:rPr>
        <w:t>. at 40.</w:t>
      </w:r>
    </w:p>
  </w:footnote>
  <w:footnote w:id="11">
    <w:p w14:paraId="600CDA94" w14:textId="6864CF70" w:rsidR="0039720D" w:rsidRPr="00D13422" w:rsidRDefault="0039720D" w:rsidP="00841ADC">
      <w:pPr>
        <w:pStyle w:val="FootnoteText"/>
        <w:tabs>
          <w:tab w:val="left" w:pos="360"/>
          <w:tab w:val="left" w:pos="792"/>
        </w:tabs>
        <w:spacing w:line="240" w:lineRule="auto"/>
        <w:rPr>
          <w:rFonts w:ascii="Times New Roman" w:hAnsi="Times New Roman"/>
          <w:sz w:val="20"/>
          <w:szCs w:val="20"/>
        </w:rPr>
      </w:pPr>
      <w:r w:rsidRPr="00C05B37">
        <w:rPr>
          <w:rFonts w:ascii="Minion Pro" w:hAnsi="Minion Pro"/>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sz w:val="20"/>
          <w:szCs w:val="20"/>
        </w:rPr>
        <w:t>See, e.g.</w:t>
      </w:r>
      <w:r w:rsidRPr="00D13422">
        <w:rPr>
          <w:rFonts w:ascii="Times New Roman" w:hAnsi="Times New Roman"/>
          <w:sz w:val="20"/>
          <w:szCs w:val="20"/>
        </w:rPr>
        <w:t xml:space="preserve">, de Silva v. Pitts, 481 F.3d 1279 (10th Cir. 2007)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"de Silva v. Pitts, 481 F.3d 1279 (10th Cir. 2007)" \s "de Silva v. Pitts, 481 F.3d 1279 (10th Cir. 2007)" \c 1 </w:instrText>
      </w:r>
      <w:r w:rsidRPr="00D13422">
        <w:rPr>
          <w:rFonts w:ascii="Times New Roman" w:hAnsi="Times New Roman"/>
          <w:sz w:val="20"/>
          <w:szCs w:val="20"/>
        </w:rPr>
        <w:fldChar w:fldCharType="end"/>
      </w:r>
      <w:r w:rsidRPr="00D13422">
        <w:rPr>
          <w:rFonts w:ascii="Times New Roman" w:hAnsi="Times New Roman"/>
          <w:sz w:val="20"/>
          <w:szCs w:val="20"/>
        </w:rPr>
        <w:t xml:space="preserve">(receiving child’s objection in camera with court reporter and law clerk present); </w:t>
      </w:r>
      <w:proofErr w:type="spellStart"/>
      <w:r w:rsidRPr="00D13422">
        <w:rPr>
          <w:rFonts w:ascii="Times New Roman" w:hAnsi="Times New Roman"/>
          <w:sz w:val="20"/>
          <w:szCs w:val="20"/>
        </w:rPr>
        <w:t>Haimdas</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Haimdas</w:t>
      </w:r>
      <w:proofErr w:type="spellEnd"/>
      <w:r w:rsidRPr="00D13422">
        <w:rPr>
          <w:rFonts w:ascii="Times New Roman" w:hAnsi="Times New Roman"/>
          <w:sz w:val="20"/>
          <w:szCs w:val="20"/>
        </w:rPr>
        <w:t xml:space="preserve">, 720 F. Supp. 2d 183 (E.D.N.Y. 2010) (hearing child’s objection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"Haimdas v. Haimdas, 720 F. Supp. 2d 183 (E.D.N.Y. 2010)" </w:instrText>
      </w:r>
      <w:r w:rsidRPr="00D13422">
        <w:rPr>
          <w:rFonts w:ascii="Times New Roman" w:hAnsi="Times New Roman"/>
          <w:sz w:val="20"/>
          <w:szCs w:val="20"/>
        </w:rPr>
        <w:fldChar w:fldCharType="end"/>
      </w:r>
      <w:r w:rsidRPr="00D13422">
        <w:rPr>
          <w:rFonts w:ascii="Times New Roman" w:hAnsi="Times New Roman"/>
          <w:sz w:val="20"/>
          <w:szCs w:val="20"/>
        </w:rPr>
        <w:t xml:space="preserve">in camera); </w:t>
      </w:r>
      <w:proofErr w:type="spellStart"/>
      <w:r w:rsidRPr="00D13422">
        <w:rPr>
          <w:rFonts w:ascii="Times New Roman" w:hAnsi="Times New Roman"/>
          <w:sz w:val="20"/>
          <w:szCs w:val="20"/>
        </w:rPr>
        <w:t>Trudrung</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Trudrung</w:t>
      </w:r>
      <w:proofErr w:type="spellEnd"/>
      <w:r w:rsidRPr="00D13422">
        <w:rPr>
          <w:rFonts w:ascii="Times New Roman" w:hAnsi="Times New Roman"/>
          <w:sz w:val="20"/>
          <w:szCs w:val="20"/>
        </w:rPr>
        <w:t>, 686 F. Supp. 2d 570 (M.D.N.C. 2010</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"Trudrung v. Trudrung, 686 F. Supp. 2d 570 (M.D.N.C. 2010)" </w:instrText>
      </w:r>
      <w:r w:rsidRPr="00D13422">
        <w:rPr>
          <w:rFonts w:ascii="Times New Roman" w:hAnsi="Times New Roman"/>
          <w:sz w:val="20"/>
          <w:szCs w:val="20"/>
        </w:rPr>
        <w:fldChar w:fldCharType="end"/>
      </w:r>
      <w:r w:rsidRPr="00D13422">
        <w:rPr>
          <w:rFonts w:ascii="Times New Roman" w:hAnsi="Times New Roman"/>
          <w:sz w:val="20"/>
          <w:szCs w:val="20"/>
        </w:rPr>
        <w:t xml:space="preserve">) (hearing child’s objection in camera); Lieberman v. </w:t>
      </w:r>
      <w:proofErr w:type="spellStart"/>
      <w:r w:rsidRPr="00D13422">
        <w:rPr>
          <w:rFonts w:ascii="Times New Roman" w:hAnsi="Times New Roman"/>
          <w:sz w:val="20"/>
          <w:szCs w:val="20"/>
        </w:rPr>
        <w:t>Tabachnik</w:t>
      </w:r>
      <w:proofErr w:type="spellEnd"/>
      <w:r w:rsidRPr="00D13422">
        <w:rPr>
          <w:rFonts w:ascii="Times New Roman" w:hAnsi="Times New Roman"/>
          <w:sz w:val="20"/>
          <w:szCs w:val="20"/>
        </w:rPr>
        <w:t xml:space="preserve">, 625 F. Supp. 2d 1109 (D. Colo. 2008) (meeting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"Lieberman v. Tabachnik, 625 F. Supp. 2d 1109 (D. Colo. 2008)" \s "Lieberman v. Tabachnik, 625 F. Supp. 2d 1109 (D. Colo. 2008)" \c 1 </w:instrText>
      </w:r>
      <w:r w:rsidRPr="00D13422">
        <w:rPr>
          <w:rFonts w:ascii="Times New Roman" w:hAnsi="Times New Roman"/>
          <w:sz w:val="20"/>
          <w:szCs w:val="20"/>
        </w:rPr>
        <w:fldChar w:fldCharType="end"/>
      </w:r>
      <w:r w:rsidRPr="00D13422">
        <w:rPr>
          <w:rFonts w:ascii="Times New Roman" w:hAnsi="Times New Roman"/>
          <w:sz w:val="20"/>
          <w:szCs w:val="20"/>
        </w:rPr>
        <w:t xml:space="preserve">all three children in chambers ex parte); Diaz </w:t>
      </w:r>
      <w:proofErr w:type="spellStart"/>
      <w:r w:rsidRPr="00D13422">
        <w:rPr>
          <w:rFonts w:ascii="Times New Roman" w:hAnsi="Times New Roman"/>
          <w:sz w:val="20"/>
          <w:szCs w:val="20"/>
        </w:rPr>
        <w:t>Arboleda</w:t>
      </w:r>
      <w:proofErr w:type="spellEnd"/>
      <w:r w:rsidRPr="00D13422">
        <w:rPr>
          <w:rFonts w:ascii="Times New Roman" w:hAnsi="Times New Roman"/>
          <w:sz w:val="20"/>
          <w:szCs w:val="20"/>
        </w:rPr>
        <w:t xml:space="preserve">, 311 F. Supp. 2d 336 (E.D.N.Y. 2004)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"Diaz Arboleda v. Arenas, 311 F. Supp. 2d 336 (E.D.N.Y. 2004)" \s "Diaz Arboleda v. Arenas, 311 F. Supp. 2d 336 (E.D.N.Y. 2004)" \c 1 </w:instrText>
      </w:r>
      <w:r w:rsidRPr="00D13422">
        <w:rPr>
          <w:rFonts w:ascii="Times New Roman" w:hAnsi="Times New Roman"/>
          <w:sz w:val="20"/>
          <w:szCs w:val="20"/>
        </w:rPr>
        <w:fldChar w:fldCharType="end"/>
      </w:r>
      <w:r w:rsidRPr="00D13422">
        <w:rPr>
          <w:rFonts w:ascii="Times New Roman" w:hAnsi="Times New Roman"/>
          <w:sz w:val="20"/>
          <w:szCs w:val="20"/>
        </w:rPr>
        <w:t xml:space="preserve">(interviewing children in camera); </w:t>
      </w:r>
      <w:proofErr w:type="spellStart"/>
      <w:r w:rsidRPr="00D13422">
        <w:rPr>
          <w:rFonts w:ascii="Times New Roman" w:hAnsi="Times New Roman"/>
          <w:sz w:val="20"/>
          <w:szCs w:val="20"/>
        </w:rPr>
        <w:t>Andreopoulos</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Nickolaos</w:t>
      </w:r>
      <w:proofErr w:type="spellEnd"/>
      <w:r w:rsidRPr="00D13422">
        <w:rPr>
          <w:rFonts w:ascii="Times New Roman" w:hAnsi="Times New Roman"/>
          <w:sz w:val="20"/>
          <w:szCs w:val="20"/>
        </w:rPr>
        <w:t xml:space="preserve"> </w:t>
      </w:r>
      <w:proofErr w:type="spellStart"/>
      <w:r w:rsidRPr="00D13422">
        <w:rPr>
          <w:rFonts w:ascii="Times New Roman" w:hAnsi="Times New Roman"/>
          <w:sz w:val="20"/>
          <w:szCs w:val="20"/>
        </w:rPr>
        <w:t>Koutroulos</w:t>
      </w:r>
      <w:proofErr w:type="spellEnd"/>
      <w:r w:rsidRPr="00D13422">
        <w:rPr>
          <w:rFonts w:ascii="Times New Roman" w:hAnsi="Times New Roman"/>
          <w:sz w:val="20"/>
          <w:szCs w:val="20"/>
        </w:rPr>
        <w:t xml:space="preserve">, No. 09-cv-00996-WTD-KMT, 2009 WL 1850928 (D. Colo. June 29, 2009)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"Andreopoulos v. Nickolaos Koutroulos, 2009 WL 1850928 (D. Colo. 2009)" \s "Andreopoulos v. Nickolaos Koutroulos, 2009 WL 1850928 (D. Colo. 2009)" \c 1 </w:instrText>
      </w:r>
      <w:r w:rsidRPr="00D13422">
        <w:rPr>
          <w:rFonts w:ascii="Times New Roman" w:hAnsi="Times New Roman"/>
          <w:sz w:val="20"/>
          <w:szCs w:val="20"/>
        </w:rPr>
        <w:fldChar w:fldCharType="end"/>
      </w:r>
      <w:r w:rsidRPr="00D13422">
        <w:rPr>
          <w:rFonts w:ascii="Times New Roman" w:hAnsi="Times New Roman"/>
          <w:sz w:val="20"/>
          <w:szCs w:val="20"/>
        </w:rPr>
        <w:t xml:space="preserve">(allowing child to testify in chambers and appointing a therapist); Laguna v. Avila, No. 07-CV-5136 (ENV), 2008 WL 1986253 (E.D.N.Y. May 7, 2008)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"Laguna v. Avila, 2008 WL 1986253 (E.D.N.Y. 2008)" \s "Laguna v. Avila, 2008 WL 1986253 (E.D.N.Y. 2008)" \c 1 </w:instrText>
      </w:r>
      <w:r w:rsidRPr="00D13422">
        <w:rPr>
          <w:rFonts w:ascii="Times New Roman" w:hAnsi="Times New Roman"/>
          <w:sz w:val="20"/>
          <w:szCs w:val="20"/>
        </w:rPr>
        <w:fldChar w:fldCharType="end"/>
      </w:r>
      <w:r w:rsidRPr="00D13422">
        <w:rPr>
          <w:rFonts w:ascii="Times New Roman" w:hAnsi="Times New Roman"/>
          <w:sz w:val="20"/>
          <w:szCs w:val="20"/>
        </w:rPr>
        <w:t xml:space="preserve">(interviewing child in chambers without parties or counsel); Di Giuseppe v. Di Giuseppe, No. 07-CV-15240, 2008 WL 1743079 (E.D. Mich. Apr. 11, 2008)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"Di Giuseppe v. Di Giuseppe, 2008 WL 1743079 (E.D. Mich. 2008)" \s "Di Giuseppe v. Di Giuseppe, 2008 WL 1743079 (E.D. Mich. 2008)" \c 1 </w:instrText>
      </w:r>
      <w:r w:rsidRPr="00D13422">
        <w:rPr>
          <w:rFonts w:ascii="Times New Roman" w:hAnsi="Times New Roman"/>
          <w:sz w:val="20"/>
          <w:szCs w:val="20"/>
        </w:rPr>
        <w:fldChar w:fldCharType="end"/>
      </w:r>
      <w:r w:rsidRPr="00D13422">
        <w:rPr>
          <w:rFonts w:ascii="Times New Roman" w:hAnsi="Times New Roman"/>
          <w:sz w:val="20"/>
          <w:szCs w:val="20"/>
        </w:rPr>
        <w:t xml:space="preserve">(interviewing children in camera); </w:t>
      </w:r>
      <w:proofErr w:type="spellStart"/>
      <w:r w:rsidRPr="00D13422">
        <w:rPr>
          <w:rFonts w:ascii="Times New Roman" w:hAnsi="Times New Roman"/>
          <w:sz w:val="20"/>
          <w:szCs w:val="20"/>
        </w:rPr>
        <w:t>McClary</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McClary</w:t>
      </w:r>
      <w:proofErr w:type="spellEnd"/>
      <w:r w:rsidRPr="00D13422">
        <w:rPr>
          <w:rFonts w:ascii="Times New Roman" w:hAnsi="Times New Roman"/>
          <w:sz w:val="20"/>
          <w:szCs w:val="20"/>
        </w:rPr>
        <w:t xml:space="preserve">, No. 3:07-cv-0845, 2007 WL 3023563 (M.D. Tenn. Oct. 12, 2007)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\s "McClary v. McClary, 2007 WL 3023563 (M.D. Tenn. 2007)" </w:instrText>
      </w:r>
      <w:r w:rsidRPr="00D13422">
        <w:rPr>
          <w:rFonts w:ascii="Times New Roman" w:hAnsi="Times New Roman"/>
          <w:sz w:val="20"/>
          <w:szCs w:val="20"/>
        </w:rPr>
        <w:fldChar w:fldCharType="end"/>
      </w:r>
      <w:r w:rsidRPr="00D13422">
        <w:rPr>
          <w:rFonts w:ascii="Times New Roman" w:hAnsi="Times New Roman"/>
          <w:sz w:val="20"/>
          <w:szCs w:val="20"/>
        </w:rPr>
        <w:t xml:space="preserve">(interviewing children in camera without parties or counsel); </w:t>
      </w:r>
      <w:proofErr w:type="spellStart"/>
      <w:r w:rsidRPr="00D13422">
        <w:rPr>
          <w:rFonts w:ascii="Times New Roman" w:hAnsi="Times New Roman"/>
          <w:sz w:val="20"/>
          <w:szCs w:val="20"/>
        </w:rPr>
        <w:t>Kofler</w:t>
      </w:r>
      <w:proofErr w:type="spellEnd"/>
      <w:r w:rsidRPr="00D13422">
        <w:rPr>
          <w:rFonts w:ascii="Times New Roman" w:hAnsi="Times New Roman"/>
          <w:sz w:val="20"/>
          <w:szCs w:val="20"/>
        </w:rPr>
        <w:t xml:space="preserve"> v. </w:t>
      </w:r>
      <w:proofErr w:type="spellStart"/>
      <w:r w:rsidRPr="00D13422">
        <w:rPr>
          <w:rFonts w:ascii="Times New Roman" w:hAnsi="Times New Roman"/>
          <w:sz w:val="20"/>
          <w:szCs w:val="20"/>
        </w:rPr>
        <w:t>Kofler</w:t>
      </w:r>
      <w:proofErr w:type="spellEnd"/>
      <w:r w:rsidRPr="00D13422">
        <w:rPr>
          <w:rFonts w:ascii="Times New Roman" w:hAnsi="Times New Roman"/>
          <w:sz w:val="20"/>
          <w:szCs w:val="20"/>
        </w:rPr>
        <w:t xml:space="preserve">, No. 07-5040, 2007 WL 2081712 (W.D. Ark. July 18, 2007)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"Kofler v. Kofler, 2007 WL 2081712 (W.D. Ark. 2007)" \s "Kofler v. Kofler 2007 WL 2081712 (W.D. Ark. 2007)" \c 1 </w:instrText>
      </w:r>
      <w:r w:rsidRPr="00D13422">
        <w:rPr>
          <w:rFonts w:ascii="Times New Roman" w:hAnsi="Times New Roman"/>
          <w:sz w:val="20"/>
          <w:szCs w:val="20"/>
        </w:rPr>
        <w:fldChar w:fldCharType="end"/>
      </w:r>
      <w:r w:rsidRPr="00D13422">
        <w:rPr>
          <w:rFonts w:ascii="Times New Roman" w:hAnsi="Times New Roman"/>
          <w:sz w:val="20"/>
          <w:szCs w:val="20"/>
        </w:rPr>
        <w:t>(interviewing three children together in chambers without parties but with counsel present); Yang v. Tsui (</w:t>
      </w:r>
      <w:r w:rsidRPr="00D13422">
        <w:rPr>
          <w:rFonts w:ascii="Times New Roman" w:hAnsi="Times New Roman"/>
          <w:i/>
          <w:sz w:val="20"/>
          <w:szCs w:val="20"/>
        </w:rPr>
        <w:t>Yang II</w:t>
      </w:r>
      <w:r w:rsidRPr="00D13422">
        <w:rPr>
          <w:rFonts w:ascii="Times New Roman" w:hAnsi="Times New Roman"/>
          <w:sz w:val="20"/>
          <w:szCs w:val="20"/>
        </w:rPr>
        <w:t xml:space="preserve">), 499 F.3d 259 (3d Cir. 2007) </w:t>
      </w:r>
      <w:r w:rsidRPr="00D13422">
        <w:rPr>
          <w:rFonts w:ascii="Times New Roman" w:hAnsi="Times New Roman"/>
          <w:sz w:val="20"/>
          <w:szCs w:val="20"/>
        </w:rPr>
        <w:fldChar w:fldCharType="begin"/>
      </w:r>
      <w:r w:rsidRPr="00D13422">
        <w:rPr>
          <w:rFonts w:ascii="Times New Roman" w:hAnsi="Times New Roman"/>
          <w:sz w:val="20"/>
          <w:szCs w:val="20"/>
        </w:rPr>
        <w:instrText xml:space="preserve"> TA \l "Yang v. Tsui (Yang II), 499 F.3d 259 (3d Cir. 2007)" \s "Yang v. Tsui (Yang II), 499 F.3d 259 (3d Cir. 2007)" \c 1 </w:instrText>
      </w:r>
      <w:r w:rsidRPr="00D13422">
        <w:rPr>
          <w:rFonts w:ascii="Times New Roman" w:hAnsi="Times New Roman"/>
          <w:sz w:val="20"/>
          <w:szCs w:val="20"/>
        </w:rPr>
        <w:fldChar w:fldCharType="end"/>
      </w:r>
      <w:r w:rsidRPr="00D13422">
        <w:rPr>
          <w:rFonts w:ascii="Times New Roman" w:hAnsi="Times New Roman"/>
          <w:sz w:val="20"/>
          <w:szCs w:val="20"/>
        </w:rPr>
        <w:t>(interviewing child, with, counsel in camera).</w:t>
      </w:r>
    </w:p>
  </w:footnote>
  <w:footnote w:id="12">
    <w:p w14:paraId="776FEED2" w14:textId="7D84EF7A" w:rsidR="0039720D" w:rsidRPr="00D13422" w:rsidRDefault="0039720D" w:rsidP="00841ADC">
      <w:pPr>
        <w:pStyle w:val="FootnoteText"/>
        <w:tabs>
          <w:tab w:val="left" w:pos="360"/>
        </w:tabs>
        <w:rPr>
          <w:rFonts w:ascii="Times New Roman" w:hAnsi="Times New Roman"/>
          <w:sz w:val="20"/>
          <w:szCs w:val="20"/>
        </w:rPr>
      </w:pPr>
      <w:r w:rsidRPr="00D13422">
        <w:rPr>
          <w:rFonts w:ascii="Times New Roman" w:hAnsi="Times New Roman"/>
          <w:sz w:val="20"/>
          <w:szCs w:val="20"/>
        </w:rPr>
        <w:tab/>
      </w:r>
      <w:r w:rsidRPr="00D13422">
        <w:rPr>
          <w:rStyle w:val="FootnoteReference"/>
          <w:rFonts w:ascii="Times New Roman" w:hAnsi="Times New Roman"/>
          <w:szCs w:val="20"/>
          <w:vertAlign w:val="baseline"/>
        </w:rPr>
        <w:footnoteRef/>
      </w:r>
      <w:r w:rsidRPr="00D13422">
        <w:rPr>
          <w:rFonts w:ascii="Times New Roman" w:hAnsi="Times New Roman"/>
          <w:sz w:val="20"/>
          <w:szCs w:val="20"/>
        </w:rPr>
        <w:t xml:space="preserve">. </w:t>
      </w:r>
      <w:r w:rsidRPr="00D13422">
        <w:rPr>
          <w:rFonts w:ascii="Times New Roman" w:hAnsi="Times New Roman"/>
          <w:i/>
          <w:sz w:val="20"/>
          <w:szCs w:val="20"/>
        </w:rPr>
        <w:t xml:space="preserve">Editor’s Note: </w:t>
      </w:r>
      <w:r w:rsidRPr="00D13422">
        <w:rPr>
          <w:rFonts w:ascii="Times New Roman" w:hAnsi="Times New Roman"/>
          <w:sz w:val="20"/>
          <w:szCs w:val="20"/>
        </w:rPr>
        <w:t xml:space="preserve">After many years spent in a family law assignment, I have concluded that allowing a child to testify in open court, with both parents in attendance, is not an effective method for eliciting a child’s opinion.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17"/>
    <w:rsid w:val="00001FC7"/>
    <w:rsid w:val="00131D21"/>
    <w:rsid w:val="00140BA6"/>
    <w:rsid w:val="001547C2"/>
    <w:rsid w:val="00166874"/>
    <w:rsid w:val="0019656A"/>
    <w:rsid w:val="001E56A3"/>
    <w:rsid w:val="00250BD2"/>
    <w:rsid w:val="002F1EA3"/>
    <w:rsid w:val="00307EAD"/>
    <w:rsid w:val="0039720D"/>
    <w:rsid w:val="0043257A"/>
    <w:rsid w:val="004552A3"/>
    <w:rsid w:val="0046011A"/>
    <w:rsid w:val="004C0731"/>
    <w:rsid w:val="004D6165"/>
    <w:rsid w:val="00513524"/>
    <w:rsid w:val="005F6BBE"/>
    <w:rsid w:val="007071F3"/>
    <w:rsid w:val="007E0D17"/>
    <w:rsid w:val="00841ADC"/>
    <w:rsid w:val="008B3DDE"/>
    <w:rsid w:val="00904E74"/>
    <w:rsid w:val="00922DB4"/>
    <w:rsid w:val="009A28E3"/>
    <w:rsid w:val="00A06CA0"/>
    <w:rsid w:val="00AD06ED"/>
    <w:rsid w:val="00B25709"/>
    <w:rsid w:val="00B35971"/>
    <w:rsid w:val="00B87BE8"/>
    <w:rsid w:val="00C03084"/>
    <w:rsid w:val="00C05B37"/>
    <w:rsid w:val="00C16BEF"/>
    <w:rsid w:val="00CA1DFE"/>
    <w:rsid w:val="00D13422"/>
    <w:rsid w:val="00D30288"/>
    <w:rsid w:val="00DA1183"/>
    <w:rsid w:val="00DB1794"/>
    <w:rsid w:val="00DD529F"/>
    <w:rsid w:val="00EF6535"/>
    <w:rsid w:val="00F04364"/>
    <w:rsid w:val="00FC3E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8A7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43257A"/>
    <w:rPr>
      <w:rFonts w:ascii="Berkeley" w:hAnsi="Berkeley" w:cs="Times New Roman"/>
      <w:sz w:val="20"/>
      <w:vertAlign w:val="superscript"/>
    </w:rPr>
  </w:style>
  <w:style w:type="paragraph" w:styleId="FootnoteText">
    <w:name w:val="footnote text"/>
    <w:basedOn w:val="Normal"/>
    <w:link w:val="FootnoteTextChar"/>
    <w:uiPriority w:val="99"/>
    <w:rsid w:val="0043257A"/>
    <w:pPr>
      <w:spacing w:after="0" w:line="220" w:lineRule="exact"/>
      <w:jc w:val="both"/>
    </w:pPr>
    <w:rPr>
      <w:rFonts w:ascii="Berkeley" w:eastAsia="Cambria" w:hAnsi="Berkeley" w:cs="Times New Roman"/>
      <w:sz w:val="18"/>
    </w:rPr>
  </w:style>
  <w:style w:type="character" w:customStyle="1" w:styleId="FootnoteTextChar">
    <w:name w:val="Footnote Text Char"/>
    <w:basedOn w:val="DefaultParagraphFont"/>
    <w:link w:val="FootnoteText"/>
    <w:uiPriority w:val="99"/>
    <w:rsid w:val="0043257A"/>
    <w:rPr>
      <w:rFonts w:ascii="Berkeley" w:eastAsia="Cambria" w:hAnsi="Berkeley" w:cs="Times New Roman"/>
      <w:sz w:val="18"/>
    </w:rPr>
  </w:style>
  <w:style w:type="paragraph" w:customStyle="1" w:styleId="text">
    <w:name w:val="text"/>
    <w:basedOn w:val="Normal"/>
    <w:qFormat/>
    <w:rsid w:val="0043257A"/>
    <w:pPr>
      <w:tabs>
        <w:tab w:val="left" w:pos="360"/>
      </w:tabs>
      <w:spacing w:after="0" w:line="260" w:lineRule="exact"/>
      <w:jc w:val="both"/>
    </w:pPr>
    <w:rPr>
      <w:rFonts w:ascii="Berkeley" w:eastAsia="Cambria" w:hAnsi="Berkeley" w:cs="Arial"/>
      <w:sz w:val="22"/>
    </w:rPr>
  </w:style>
  <w:style w:type="paragraph" w:styleId="Header">
    <w:name w:val="header"/>
    <w:basedOn w:val="Normal"/>
    <w:link w:val="HeaderChar"/>
    <w:uiPriority w:val="99"/>
    <w:unhideWhenUsed/>
    <w:rsid w:val="00250BD2"/>
    <w:pPr>
      <w:tabs>
        <w:tab w:val="center" w:pos="4320"/>
        <w:tab w:val="right" w:pos="8640"/>
      </w:tabs>
      <w:spacing w:after="0"/>
    </w:pPr>
  </w:style>
  <w:style w:type="character" w:customStyle="1" w:styleId="HeaderChar">
    <w:name w:val="Header Char"/>
    <w:basedOn w:val="DefaultParagraphFont"/>
    <w:link w:val="Header"/>
    <w:uiPriority w:val="99"/>
    <w:rsid w:val="00250BD2"/>
  </w:style>
  <w:style w:type="paragraph" w:styleId="Footer">
    <w:name w:val="footer"/>
    <w:basedOn w:val="Normal"/>
    <w:link w:val="FooterChar"/>
    <w:uiPriority w:val="99"/>
    <w:unhideWhenUsed/>
    <w:rsid w:val="00250BD2"/>
    <w:pPr>
      <w:tabs>
        <w:tab w:val="center" w:pos="4320"/>
        <w:tab w:val="right" w:pos="8640"/>
      </w:tabs>
      <w:spacing w:after="0"/>
    </w:pPr>
  </w:style>
  <w:style w:type="character" w:customStyle="1" w:styleId="FooterChar">
    <w:name w:val="Footer Char"/>
    <w:basedOn w:val="DefaultParagraphFont"/>
    <w:link w:val="Footer"/>
    <w:uiPriority w:val="99"/>
    <w:rsid w:val="00250BD2"/>
  </w:style>
  <w:style w:type="character" w:styleId="PageNumber">
    <w:name w:val="page number"/>
    <w:basedOn w:val="DefaultParagraphFont"/>
    <w:uiPriority w:val="99"/>
    <w:semiHidden/>
    <w:unhideWhenUsed/>
    <w:rsid w:val="00250BD2"/>
  </w:style>
  <w:style w:type="paragraph" w:styleId="BalloonText">
    <w:name w:val="Balloon Text"/>
    <w:basedOn w:val="Normal"/>
    <w:link w:val="BalloonTextChar"/>
    <w:uiPriority w:val="99"/>
    <w:semiHidden/>
    <w:unhideWhenUsed/>
    <w:rsid w:val="00140B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eb2.westlaw.com/find/default.wl?tf=-1&amp;rs=WLW8.10&amp;referencepositiontype=S&amp;serialnum=2000622671&amp;fn=_top&amp;sv=Split&amp;referenceposition=271&amp;findtype=Y&amp;tc=-1&amp;ordoc=2017097286&amp;db=506&amp;vr=2.0&amp;rp=%2ffind%2fdefault.wl&amp;mt=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7DF5-C3E8-D344-8082-8554588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Superior Court</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Garbolino</dc:creator>
  <cp:lastModifiedBy>Microsoft Office User</cp:lastModifiedBy>
  <cp:revision>2</cp:revision>
  <dcterms:created xsi:type="dcterms:W3CDTF">2016-03-14T03:19:00Z</dcterms:created>
  <dcterms:modified xsi:type="dcterms:W3CDTF">2016-03-14T03:19:00Z</dcterms:modified>
</cp:coreProperties>
</file>